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B2CC" w14:textId="77777777" w:rsidR="00C77C78" w:rsidRDefault="00071FA4" w:rsidP="00071FA4">
      <w:pPr>
        <w:tabs>
          <w:tab w:val="left" w:pos="5103"/>
          <w:tab w:val="left" w:pos="5387"/>
          <w:tab w:val="left" w:pos="9923"/>
        </w:tabs>
        <w:jc w:val="center"/>
        <w:rPr>
          <w:noProof/>
        </w:rPr>
      </w:pPr>
      <w:r>
        <w:rPr>
          <w:noProof/>
          <w:lang w:eastAsia="en-GB"/>
        </w:rPr>
        <w:drawing>
          <wp:inline distT="0" distB="0" distL="0" distR="0" wp14:anchorId="7F06BB4F" wp14:editId="404CC321">
            <wp:extent cx="2028825" cy="1333500"/>
            <wp:effectExtent l="0" t="0" r="9525" b="0"/>
            <wp:docPr id="2" name="Picture 2"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6A5C0FF4" w14:textId="77777777" w:rsidR="00C827DC" w:rsidRDefault="00C827DC">
      <w:pPr>
        <w:pStyle w:val="BodyText"/>
        <w:tabs>
          <w:tab w:val="left" w:pos="1080"/>
        </w:tabs>
        <w:spacing w:line="160" w:lineRule="exact"/>
        <w:rPr>
          <w:i w:val="0"/>
          <w:iCs w:val="0"/>
          <w:sz w:val="22"/>
        </w:rP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402527" w:rsidRPr="00402527" w14:paraId="4E8F7120" w14:textId="77777777" w:rsidTr="00EE39BF">
        <w:trPr>
          <w:trHeight w:val="851"/>
        </w:trPr>
        <w:tc>
          <w:tcPr>
            <w:tcW w:w="9900" w:type="dxa"/>
            <w:tcBorders>
              <w:top w:val="single" w:sz="4" w:space="0" w:color="auto"/>
              <w:bottom w:val="single" w:sz="4" w:space="0" w:color="auto"/>
            </w:tcBorders>
            <w:shd w:val="clear" w:color="auto" w:fill="BFBFBF" w:themeFill="background1" w:themeFillShade="BF"/>
          </w:tcPr>
          <w:p w14:paraId="68DCE74B" w14:textId="0094124A" w:rsidR="00402527" w:rsidRPr="0051355B" w:rsidRDefault="00402527" w:rsidP="0051355B">
            <w:pPr>
              <w:pStyle w:val="BodyText"/>
              <w:tabs>
                <w:tab w:val="left" w:pos="1080"/>
              </w:tabs>
              <w:jc w:val="center"/>
              <w:rPr>
                <w:b/>
                <w:i w:val="0"/>
                <w:smallCaps/>
                <w:sz w:val="30"/>
                <w:szCs w:val="30"/>
              </w:rPr>
            </w:pPr>
            <w:r w:rsidRPr="0051355B">
              <w:rPr>
                <w:b/>
                <w:i w:val="0"/>
                <w:smallCaps/>
                <w:sz w:val="30"/>
                <w:szCs w:val="30"/>
              </w:rPr>
              <w:t xml:space="preserve">APPLICATION IN RESPECT OF A PROPOSED LICENSEE SERVICING A QUALIFYING INVESTOR FUND, A REGISTERED COLLECTIVE INVESTMENT SCHEME OR </w:t>
            </w:r>
            <w:r w:rsidR="00006770">
              <w:rPr>
                <w:b/>
                <w:i w:val="0"/>
                <w:smallCaps/>
                <w:sz w:val="30"/>
                <w:szCs w:val="30"/>
              </w:rPr>
              <w:t xml:space="preserve">AN </w:t>
            </w:r>
            <w:r w:rsidRPr="0051355B">
              <w:rPr>
                <w:b/>
                <w:i w:val="0"/>
                <w:smallCaps/>
                <w:sz w:val="30"/>
                <w:szCs w:val="30"/>
              </w:rPr>
              <w:t>OVERSEAS COLLECTIVE INVESTMENT SCHEME</w:t>
            </w:r>
          </w:p>
          <w:p w14:paraId="7DA21869" w14:textId="77777777" w:rsidR="00402527" w:rsidRPr="00402527" w:rsidRDefault="00402527" w:rsidP="0051355B">
            <w:pPr>
              <w:keepNext/>
              <w:jc w:val="center"/>
              <w:outlineLvl w:val="4"/>
              <w:rPr>
                <w:rFonts w:asciiTheme="majorHAnsi" w:eastAsiaTheme="majorEastAsia" w:hAnsiTheme="majorHAnsi" w:cstheme="majorBidi"/>
                <w:color w:val="365F91" w:themeColor="accent1" w:themeShade="BF"/>
              </w:rPr>
            </w:pPr>
          </w:p>
        </w:tc>
      </w:tr>
      <w:tr w:rsidR="00402527" w:rsidRPr="00402527" w14:paraId="72EFD274" w14:textId="77777777" w:rsidTr="00EE39BF">
        <w:trPr>
          <w:trHeight w:val="191"/>
        </w:trPr>
        <w:tc>
          <w:tcPr>
            <w:tcW w:w="9900" w:type="dxa"/>
            <w:tcBorders>
              <w:top w:val="single" w:sz="4" w:space="0" w:color="auto"/>
              <w:bottom w:val="single" w:sz="4" w:space="0" w:color="auto"/>
            </w:tcBorders>
          </w:tcPr>
          <w:p w14:paraId="6FF3B190" w14:textId="77777777" w:rsidR="00402527" w:rsidRPr="00402527" w:rsidRDefault="00402527" w:rsidP="0051355B">
            <w:pPr>
              <w:pStyle w:val="Heading3"/>
              <w:rPr>
                <w:rFonts w:eastAsiaTheme="majorEastAsia"/>
              </w:rPr>
            </w:pPr>
          </w:p>
        </w:tc>
      </w:tr>
      <w:tr w:rsidR="00402527" w:rsidRPr="00402527" w14:paraId="0BC4865E" w14:textId="77777777" w:rsidTr="00EE39BF">
        <w:trPr>
          <w:trHeight w:val="851"/>
        </w:trPr>
        <w:tc>
          <w:tcPr>
            <w:tcW w:w="9900" w:type="dxa"/>
            <w:tcBorders>
              <w:top w:val="single" w:sz="4" w:space="0" w:color="auto"/>
              <w:left w:val="single" w:sz="4" w:space="0" w:color="auto"/>
              <w:bottom w:val="single" w:sz="4" w:space="0" w:color="auto"/>
              <w:right w:val="single" w:sz="4" w:space="0" w:color="auto"/>
            </w:tcBorders>
          </w:tcPr>
          <w:p w14:paraId="756990C4" w14:textId="77777777" w:rsidR="00402527" w:rsidRPr="0051355B" w:rsidRDefault="00402527" w:rsidP="00402527">
            <w:pPr>
              <w:autoSpaceDE w:val="0"/>
              <w:autoSpaceDN w:val="0"/>
              <w:adjustRightInd w:val="0"/>
              <w:rPr>
                <w:b/>
                <w:bCs/>
                <w:color w:val="000000"/>
                <w:lang w:eastAsia="en-GB"/>
              </w:rPr>
            </w:pPr>
            <w:r w:rsidRPr="0051355B">
              <w:rPr>
                <w:b/>
                <w:bCs/>
                <w:color w:val="000000"/>
                <w:lang w:eastAsia="en-GB"/>
              </w:rPr>
              <w:t xml:space="preserve">COMPLETION OF FORM FTL: </w:t>
            </w:r>
          </w:p>
          <w:p w14:paraId="6DE3AD4E" w14:textId="2C2BC174" w:rsidR="00402527" w:rsidRPr="0051355B" w:rsidRDefault="00402527" w:rsidP="00402527">
            <w:pPr>
              <w:numPr>
                <w:ilvl w:val="0"/>
                <w:numId w:val="12"/>
              </w:numPr>
              <w:autoSpaceDE w:val="0"/>
              <w:autoSpaceDN w:val="0"/>
              <w:adjustRightInd w:val="0"/>
              <w:rPr>
                <w:bCs/>
                <w:color w:val="000000"/>
                <w:lang w:eastAsia="en-GB"/>
              </w:rPr>
            </w:pPr>
            <w:r w:rsidRPr="0051355B">
              <w:rPr>
                <w:bCs/>
                <w:color w:val="000000"/>
                <w:lang w:eastAsia="en-GB"/>
              </w:rPr>
              <w:t xml:space="preserve">The Form FTL and Form RA/1 should be submitted electronically together with a covering letter scheduling the associated documentation being submitted in support of this application to </w:t>
            </w:r>
            <w:hyperlink r:id="rId14" w:history="1">
              <w:r w:rsidR="00071FA4" w:rsidRPr="0051355B">
                <w:rPr>
                  <w:rStyle w:val="Hyperlink"/>
                </w:rPr>
                <w:t>authorisations@gfsc.gg</w:t>
              </w:r>
            </w:hyperlink>
            <w:r w:rsidR="0034069B">
              <w:rPr>
                <w:rStyle w:val="Hyperlink"/>
              </w:rPr>
              <w:t>.</w:t>
            </w:r>
            <w:r w:rsidR="00C37882" w:rsidRPr="00C37882">
              <w:rPr>
                <w:rStyle w:val="Hyperlink"/>
                <w:u w:val="none"/>
              </w:rPr>
              <w:t xml:space="preserve">  </w:t>
            </w:r>
            <w:r w:rsidR="00C37882" w:rsidRPr="00C37882">
              <w:rPr>
                <w:bCs/>
                <w:color w:val="000000"/>
                <w:lang w:eastAsia="en-GB"/>
              </w:rPr>
              <w:t>For large submissions please use Egress.</w:t>
            </w:r>
            <w:r w:rsidR="00C37882">
              <w:rPr>
                <w:bCs/>
                <w:color w:val="000000"/>
                <w:lang w:eastAsia="en-GB"/>
              </w:rPr>
              <w:t xml:space="preserve"> </w:t>
            </w:r>
            <w:r w:rsidRPr="0051355B">
              <w:rPr>
                <w:bCs/>
                <w:color w:val="000000"/>
                <w:lang w:eastAsia="en-GB"/>
              </w:rPr>
              <w:t>The Form FTL and Form RA/1 will be processed in 10 days.</w:t>
            </w:r>
          </w:p>
          <w:p w14:paraId="527C7E26" w14:textId="77777777" w:rsidR="0016160B" w:rsidRDefault="00402527" w:rsidP="0016160B">
            <w:pPr>
              <w:numPr>
                <w:ilvl w:val="0"/>
                <w:numId w:val="12"/>
              </w:numPr>
              <w:autoSpaceDE w:val="0"/>
              <w:autoSpaceDN w:val="0"/>
              <w:adjustRightInd w:val="0"/>
              <w:rPr>
                <w:bCs/>
                <w:color w:val="000000"/>
                <w:lang w:eastAsia="en-GB"/>
              </w:rPr>
            </w:pPr>
            <w:r w:rsidRPr="0051355B">
              <w:rPr>
                <w:bCs/>
                <w:color w:val="000000"/>
                <w:lang w:eastAsia="en-GB"/>
              </w:rPr>
              <w:t>Online Personal Questionnaires and/or Online Appointment Forms (as applicable) should be submitted by individuals proposing to hold Prescribed Positions in the Licensee.</w:t>
            </w:r>
            <w:r w:rsidR="0016160B" w:rsidRPr="00FC775F">
              <w:rPr>
                <w:bCs/>
                <w:color w:val="000000"/>
                <w:lang w:eastAsia="en-GB"/>
              </w:rPr>
              <w:t xml:space="preserve"> </w:t>
            </w:r>
          </w:p>
          <w:p w14:paraId="0D00588A" w14:textId="05A273DA" w:rsidR="00071FA4" w:rsidRDefault="0016160B" w:rsidP="0051355B">
            <w:pPr>
              <w:numPr>
                <w:ilvl w:val="0"/>
                <w:numId w:val="12"/>
              </w:numPr>
              <w:autoSpaceDE w:val="0"/>
              <w:autoSpaceDN w:val="0"/>
              <w:adjustRightInd w:val="0"/>
              <w:jc w:val="both"/>
              <w:rPr>
                <w:bCs/>
                <w:color w:val="000000"/>
                <w:lang w:eastAsia="en-GB"/>
              </w:rPr>
            </w:pPr>
            <w:r w:rsidRPr="00FC775F">
              <w:rPr>
                <w:bCs/>
                <w:color w:val="000000"/>
                <w:lang w:eastAsia="en-GB"/>
              </w:rPr>
              <w:t xml:space="preserve">If the </w:t>
            </w:r>
            <w:r w:rsidR="0031159B">
              <w:rPr>
                <w:bCs/>
                <w:color w:val="000000"/>
                <w:lang w:eastAsia="en-GB"/>
              </w:rPr>
              <w:t xml:space="preserve">Applicant </w:t>
            </w:r>
            <w:r w:rsidR="0034069B">
              <w:rPr>
                <w:bCs/>
                <w:color w:val="000000"/>
                <w:lang w:eastAsia="en-GB"/>
              </w:rPr>
              <w:t xml:space="preserve">is proposing to act </w:t>
            </w:r>
            <w:r w:rsidR="00B33EE5">
              <w:rPr>
                <w:bCs/>
                <w:color w:val="000000"/>
                <w:lang w:eastAsia="en-GB"/>
              </w:rPr>
              <w:t>as a manager</w:t>
            </w:r>
            <w:r w:rsidRPr="00FC775F">
              <w:rPr>
                <w:bCs/>
                <w:color w:val="000000"/>
                <w:lang w:eastAsia="en-GB"/>
              </w:rPr>
              <w:t xml:space="preserve"> in respect of open ended overseas collective investment schemes a </w:t>
            </w:r>
            <w:r>
              <w:rPr>
                <w:bCs/>
                <w:color w:val="000000"/>
                <w:lang w:eastAsia="en-GB"/>
              </w:rPr>
              <w:t>F</w:t>
            </w:r>
            <w:r w:rsidRPr="00FC775F">
              <w:rPr>
                <w:bCs/>
                <w:color w:val="000000"/>
                <w:lang w:eastAsia="en-GB"/>
              </w:rPr>
              <w:t xml:space="preserve">orm </w:t>
            </w:r>
            <w:r>
              <w:rPr>
                <w:bCs/>
                <w:color w:val="000000"/>
                <w:lang w:eastAsia="en-GB"/>
              </w:rPr>
              <w:t>NGSF</w:t>
            </w:r>
            <w:r w:rsidRPr="00FC775F">
              <w:rPr>
                <w:bCs/>
                <w:color w:val="000000"/>
                <w:lang w:eastAsia="en-GB"/>
              </w:rPr>
              <w:t xml:space="preserve"> should be submitted with this application.  </w:t>
            </w:r>
          </w:p>
          <w:p w14:paraId="61516CB7" w14:textId="77777777" w:rsidR="003A029C" w:rsidRPr="0051355B" w:rsidRDefault="003A029C" w:rsidP="0051355B">
            <w:pPr>
              <w:numPr>
                <w:ilvl w:val="0"/>
                <w:numId w:val="12"/>
              </w:numPr>
              <w:autoSpaceDE w:val="0"/>
              <w:autoSpaceDN w:val="0"/>
              <w:adjustRightInd w:val="0"/>
              <w:jc w:val="both"/>
              <w:rPr>
                <w:bCs/>
                <w:color w:val="000000"/>
                <w:lang w:eastAsia="en-GB"/>
              </w:rPr>
            </w:pPr>
            <w:r w:rsidRPr="0051355B">
              <w:rPr>
                <w:bCs/>
                <w:color w:val="000000"/>
                <w:lang w:eastAsia="en-GB"/>
              </w:rPr>
              <w:t xml:space="preserve">If the </w:t>
            </w:r>
            <w:r w:rsidR="00071FA4">
              <w:rPr>
                <w:bCs/>
                <w:color w:val="000000"/>
                <w:lang w:eastAsia="en-GB"/>
              </w:rPr>
              <w:t xml:space="preserve">Applicant for a Licence </w:t>
            </w:r>
            <w:r w:rsidR="00B33EE5">
              <w:rPr>
                <w:bCs/>
                <w:color w:val="000000"/>
                <w:lang w:eastAsia="en-GB"/>
              </w:rPr>
              <w:t xml:space="preserve">as a manager </w:t>
            </w:r>
            <w:r w:rsidRPr="0051355B">
              <w:rPr>
                <w:bCs/>
                <w:color w:val="000000"/>
                <w:lang w:eastAsia="en-GB"/>
              </w:rPr>
              <w:t xml:space="preserve">to overseas collective investment schemes is intending to migrate into the </w:t>
            </w:r>
            <w:r w:rsidR="0016160B">
              <w:rPr>
                <w:bCs/>
                <w:color w:val="000000"/>
                <w:lang w:eastAsia="en-GB"/>
              </w:rPr>
              <w:t>B</w:t>
            </w:r>
            <w:r w:rsidRPr="0051355B">
              <w:rPr>
                <w:bCs/>
                <w:color w:val="000000"/>
                <w:lang w:eastAsia="en-GB"/>
              </w:rPr>
              <w:t xml:space="preserve">ailiwick </w:t>
            </w:r>
            <w:r w:rsidR="0016160B">
              <w:rPr>
                <w:bCs/>
                <w:color w:val="000000"/>
                <w:lang w:eastAsia="en-GB"/>
              </w:rPr>
              <w:t xml:space="preserve">of Guernsey </w:t>
            </w:r>
            <w:r w:rsidRPr="0051355B">
              <w:rPr>
                <w:bCs/>
                <w:color w:val="000000"/>
                <w:lang w:eastAsia="en-GB"/>
              </w:rPr>
              <w:t>Form FTLM</w:t>
            </w:r>
            <w:r w:rsidR="0016160B" w:rsidRPr="0051355B">
              <w:rPr>
                <w:bCs/>
                <w:color w:val="000000"/>
                <w:lang w:eastAsia="en-GB"/>
              </w:rPr>
              <w:t xml:space="preserve"> 2020</w:t>
            </w:r>
            <w:r w:rsidR="00A03BC5">
              <w:rPr>
                <w:bCs/>
                <w:color w:val="000000"/>
                <w:lang w:eastAsia="en-GB"/>
              </w:rPr>
              <w:t xml:space="preserve"> (Fast Track Licence Migration)</w:t>
            </w:r>
            <w:r w:rsidR="0016160B" w:rsidRPr="0051355B">
              <w:rPr>
                <w:bCs/>
                <w:color w:val="000000"/>
                <w:lang w:eastAsia="en-GB"/>
              </w:rPr>
              <w:t xml:space="preserve"> should be used.</w:t>
            </w:r>
          </w:p>
        </w:tc>
      </w:tr>
      <w:tr w:rsidR="00402527" w:rsidRPr="00402527" w14:paraId="3F5DBF5A" w14:textId="77777777" w:rsidTr="0051355B">
        <w:trPr>
          <w:trHeight w:val="279"/>
        </w:trPr>
        <w:tc>
          <w:tcPr>
            <w:tcW w:w="9900" w:type="dxa"/>
            <w:tcBorders>
              <w:top w:val="single" w:sz="4" w:space="0" w:color="auto"/>
              <w:left w:val="single" w:sz="4" w:space="0" w:color="auto"/>
              <w:bottom w:val="single" w:sz="4" w:space="0" w:color="auto"/>
              <w:right w:val="single" w:sz="4" w:space="0" w:color="auto"/>
            </w:tcBorders>
          </w:tcPr>
          <w:p w14:paraId="0D638E7B" w14:textId="77777777" w:rsidR="00402527" w:rsidRPr="0051355B" w:rsidRDefault="00402527" w:rsidP="0051355B">
            <w:pPr>
              <w:pStyle w:val="Heading3"/>
            </w:pPr>
          </w:p>
        </w:tc>
      </w:tr>
    </w:tbl>
    <w:p w14:paraId="0A82C228"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3119"/>
        <w:gridCol w:w="6946"/>
      </w:tblGrid>
      <w:tr w:rsidR="00C827DC" w14:paraId="1594A5FC" w14:textId="77777777" w:rsidTr="0051355B">
        <w:tc>
          <w:tcPr>
            <w:tcW w:w="3119" w:type="dxa"/>
            <w:tcBorders>
              <w:right w:val="single" w:sz="4" w:space="0" w:color="auto"/>
            </w:tcBorders>
          </w:tcPr>
          <w:p w14:paraId="555F1F91"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3D4AEFDE" w14:textId="77777777" w:rsidR="00C827DC" w:rsidRDefault="00C827DC">
            <w:pPr>
              <w:pStyle w:val="BodyText"/>
              <w:tabs>
                <w:tab w:val="left" w:pos="1080"/>
              </w:tabs>
              <w:jc w:val="both"/>
              <w:rPr>
                <w:i w:val="0"/>
                <w:iCs w:val="0"/>
                <w:sz w:val="22"/>
              </w:rPr>
            </w:pPr>
          </w:p>
        </w:tc>
        <w:tc>
          <w:tcPr>
            <w:tcW w:w="6946" w:type="dxa"/>
            <w:tcBorders>
              <w:top w:val="single" w:sz="4" w:space="0" w:color="auto"/>
              <w:left w:val="single" w:sz="4" w:space="0" w:color="auto"/>
              <w:bottom w:val="single" w:sz="4" w:space="0" w:color="auto"/>
              <w:right w:val="single" w:sz="4" w:space="0" w:color="auto"/>
            </w:tcBorders>
          </w:tcPr>
          <w:p w14:paraId="7EE0EA97" w14:textId="77777777" w:rsidR="00C827DC" w:rsidRPr="000B1D17"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tc>
      </w:tr>
    </w:tbl>
    <w:p w14:paraId="02B0633B" w14:textId="77777777" w:rsidR="00850C7C" w:rsidRDefault="00850C7C">
      <w:pPr>
        <w:pStyle w:val="BodyText"/>
        <w:tabs>
          <w:tab w:val="left" w:pos="1080"/>
        </w:tabs>
        <w:spacing w:line="200" w:lineRule="atLeast"/>
        <w:jc w:val="both"/>
        <w:rPr>
          <w:i w:val="0"/>
          <w:iCs w:val="0"/>
          <w:sz w:val="16"/>
        </w:rPr>
      </w:pPr>
    </w:p>
    <w:p w14:paraId="43DB8821" w14:textId="77777777"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58022E95" w14:textId="77777777" w:rsidR="00850C7C" w:rsidRDefault="00850C7C">
      <w:pPr>
        <w:pStyle w:val="BodyText"/>
        <w:tabs>
          <w:tab w:val="left" w:pos="1080"/>
        </w:tabs>
        <w:jc w:val="both"/>
        <w:rPr>
          <w:i w:val="0"/>
          <w:iCs w:val="0"/>
        </w:rPr>
      </w:pPr>
    </w:p>
    <w:p w14:paraId="66C1FDBE" w14:textId="77777777" w:rsidR="00C827DC" w:rsidRPr="007E163E" w:rsidRDefault="00C827DC">
      <w:pPr>
        <w:pStyle w:val="BodyText"/>
        <w:tabs>
          <w:tab w:val="left" w:pos="540"/>
          <w:tab w:val="left" w:pos="7020"/>
        </w:tabs>
        <w:spacing w:line="120" w:lineRule="auto"/>
        <w:jc w:val="both"/>
        <w:rPr>
          <w:i w:val="0"/>
          <w:iCs w:val="0"/>
          <w:szCs w:val="20"/>
        </w:rPr>
      </w:pPr>
    </w:p>
    <w:p w14:paraId="3B304647" w14:textId="218FDAA6" w:rsidR="00C827DC" w:rsidRPr="007E163E" w:rsidRDefault="00C827DC" w:rsidP="001649BC">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201D9" w:rsidRPr="007E163E">
        <w:rPr>
          <w:i w:val="0"/>
          <w:iCs w:val="0"/>
          <w:szCs w:val="20"/>
        </w:rPr>
        <w:t>the</w:t>
      </w:r>
      <w:r w:rsidRPr="007E163E">
        <w:rPr>
          <w:i w:val="0"/>
          <w:iCs w:val="0"/>
          <w:szCs w:val="20"/>
        </w:rPr>
        <w:t xml:space="preserve"> proposed administrator of the </w:t>
      </w:r>
      <w:r w:rsidR="006925A9" w:rsidRPr="007E163E">
        <w:rPr>
          <w:i w:val="0"/>
          <w:iCs w:val="0"/>
          <w:szCs w:val="20"/>
        </w:rPr>
        <w:t>applicant for a licence</w:t>
      </w:r>
      <w:r w:rsidRPr="007E163E">
        <w:rPr>
          <w:i w:val="0"/>
          <w:iCs w:val="0"/>
          <w:szCs w:val="20"/>
        </w:rPr>
        <w:t>, have performed suffic</w:t>
      </w:r>
      <w:r w:rsidR="00D535A5" w:rsidRPr="007E163E">
        <w:rPr>
          <w:i w:val="0"/>
          <w:iCs w:val="0"/>
          <w:szCs w:val="20"/>
        </w:rPr>
        <w:t>i</w:t>
      </w:r>
      <w:r w:rsidRPr="007E163E">
        <w:rPr>
          <w:i w:val="0"/>
          <w:iCs w:val="0"/>
          <w:szCs w:val="20"/>
        </w:rPr>
        <w:t xml:space="preserve">ent due diligence to be satisfied that </w:t>
      </w:r>
      <w:r w:rsidR="00D94503" w:rsidRPr="007E163E">
        <w:rPr>
          <w:i w:val="0"/>
          <w:iCs w:val="0"/>
          <w:szCs w:val="20"/>
        </w:rPr>
        <w:t>the beneficial owners</w:t>
      </w:r>
      <w:r w:rsidR="003168D9" w:rsidRPr="007E163E">
        <w:rPr>
          <w:i w:val="0"/>
          <w:iCs w:val="0"/>
          <w:szCs w:val="20"/>
        </w:rPr>
        <w:t xml:space="preserve"> or controllers</w:t>
      </w:r>
      <w:r w:rsidR="006925A9" w:rsidRPr="007E163E">
        <w:rPr>
          <w:i w:val="0"/>
          <w:iCs w:val="0"/>
          <w:szCs w:val="20"/>
        </w:rPr>
        <w:t xml:space="preserve"> of,</w:t>
      </w:r>
      <w:r w:rsidR="00D94503" w:rsidRPr="007E163E">
        <w:rPr>
          <w:i w:val="0"/>
          <w:iCs w:val="0"/>
          <w:szCs w:val="20"/>
        </w:rPr>
        <w:t xml:space="preserve"> and relevant parties to</w:t>
      </w:r>
      <w:r w:rsidR="006925A9" w:rsidRPr="007E163E">
        <w:rPr>
          <w:i w:val="0"/>
          <w:iCs w:val="0"/>
          <w:szCs w:val="20"/>
        </w:rPr>
        <w:t>,</w:t>
      </w:r>
      <w:r w:rsidR="00D94503" w:rsidRPr="007E163E">
        <w:rPr>
          <w:i w:val="0"/>
          <w:iCs w:val="0"/>
          <w:szCs w:val="20"/>
        </w:rPr>
        <w:t xml:space="preserve"> the applicant for a licence</w:t>
      </w:r>
      <w:r w:rsidRPr="007E163E">
        <w:rPr>
          <w:i w:val="0"/>
          <w:iCs w:val="0"/>
          <w:szCs w:val="20"/>
        </w:rPr>
        <w:t xml:space="preserve"> are fit and proper</w:t>
      </w:r>
      <w:r w:rsidR="002201D9" w:rsidRPr="007E163E">
        <w:rPr>
          <w:i w:val="0"/>
          <w:iCs w:val="0"/>
          <w:szCs w:val="20"/>
        </w:rPr>
        <w:t xml:space="preserve"> and meet the requirements of Schedule 4 to the Protection of Investors (Bailiwick of Guernsey) Law, 1987</w:t>
      </w:r>
      <w:r w:rsidR="001649BC" w:rsidRPr="007E163E">
        <w:rPr>
          <w:i w:val="0"/>
          <w:iCs w:val="0"/>
          <w:szCs w:val="20"/>
        </w:rPr>
        <w:t xml:space="preserve"> as amended</w:t>
      </w:r>
      <w:r w:rsidRPr="007E163E">
        <w:rPr>
          <w:i w:val="0"/>
          <w:iCs w:val="0"/>
          <w:szCs w:val="20"/>
        </w:rPr>
        <w:t xml:space="preserve"> and that in this respect consideration has been given to all of the issues set out in the Guidance Document issued</w:t>
      </w:r>
      <w:r w:rsidR="00162375" w:rsidRPr="007E163E">
        <w:rPr>
          <w:i w:val="0"/>
          <w:iCs w:val="0"/>
          <w:szCs w:val="20"/>
        </w:rPr>
        <w:t xml:space="preserve"> by the Commission dated </w:t>
      </w:r>
      <w:r w:rsidR="0010584E">
        <w:rPr>
          <w:i w:val="0"/>
          <w:iCs w:val="0"/>
          <w:szCs w:val="20"/>
        </w:rPr>
        <w:t>June</w:t>
      </w:r>
      <w:r w:rsidR="0000284A" w:rsidRPr="007E163E">
        <w:rPr>
          <w:i w:val="0"/>
          <w:iCs w:val="0"/>
          <w:szCs w:val="20"/>
        </w:rPr>
        <w:t xml:space="preserve"> 20</w:t>
      </w:r>
      <w:r w:rsidR="0010584E">
        <w:rPr>
          <w:i w:val="0"/>
          <w:iCs w:val="0"/>
          <w:szCs w:val="20"/>
        </w:rPr>
        <w:t>20</w:t>
      </w:r>
      <w:bookmarkStart w:id="1" w:name="_GoBack"/>
      <w:bookmarkEnd w:id="1"/>
      <w:r w:rsidR="001649BC" w:rsidRPr="007E163E">
        <w:rPr>
          <w:i w:val="0"/>
          <w:iCs w:val="0"/>
          <w:szCs w:val="20"/>
        </w:rPr>
        <w:t>, includi</w:t>
      </w:r>
      <w:r w:rsidR="002201D9" w:rsidRPr="007E163E">
        <w:rPr>
          <w:i w:val="0"/>
          <w:iCs w:val="0"/>
          <w:szCs w:val="20"/>
        </w:rPr>
        <w:t>ng the Appendix to such Guidance Document reflecting the provisions of the aforementioned Schedule 4;</w:t>
      </w:r>
    </w:p>
    <w:p w14:paraId="4604ECFB" w14:textId="77777777" w:rsidR="001649BC" w:rsidRPr="007E163E" w:rsidRDefault="001649BC" w:rsidP="001649BC">
      <w:pPr>
        <w:pStyle w:val="BodyText"/>
        <w:tabs>
          <w:tab w:val="left" w:pos="1080"/>
          <w:tab w:val="left" w:pos="7020"/>
        </w:tabs>
        <w:jc w:val="both"/>
        <w:rPr>
          <w:i w:val="0"/>
          <w:iCs w:val="0"/>
          <w:szCs w:val="20"/>
        </w:rPr>
      </w:pPr>
    </w:p>
    <w:p w14:paraId="46043532" w14:textId="77777777"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for a licence under the Protection of Investors (Bailiwick of Guernsey) Law, 1987 as amended,</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2A799B1A" w14:textId="77777777" w:rsidR="002A1A56" w:rsidRPr="007E163E" w:rsidRDefault="002A1A56" w:rsidP="002A1A56">
      <w:pPr>
        <w:pStyle w:val="ListParagraph"/>
        <w:rPr>
          <w:i/>
          <w:iCs/>
          <w:sz w:val="20"/>
          <w:szCs w:val="20"/>
        </w:rPr>
      </w:pPr>
    </w:p>
    <w:p w14:paraId="1640096B"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31B60099" w14:textId="77777777" w:rsidR="002A1A56" w:rsidRPr="007E163E" w:rsidRDefault="002A1A56" w:rsidP="002A1A56">
      <w:pPr>
        <w:pStyle w:val="ListParagraph"/>
        <w:rPr>
          <w:i/>
          <w:iCs/>
          <w:sz w:val="20"/>
          <w:szCs w:val="20"/>
        </w:rPr>
      </w:pPr>
    </w:p>
    <w:p w14:paraId="2E41C64C"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2C612DD9" w14:textId="77777777" w:rsidR="00C827DC" w:rsidRPr="00006770" w:rsidRDefault="00850C7C" w:rsidP="0051355B">
      <w:pPr>
        <w:rPr>
          <w:sz w:val="20"/>
          <w:szCs w:val="20"/>
          <w:u w:val="single"/>
        </w:rPr>
      </w:pPr>
      <w:r>
        <w:rPr>
          <w:i/>
          <w:iCs/>
          <w:szCs w:val="20"/>
        </w:rPr>
        <w:br w:type="page"/>
      </w:r>
      <w:r w:rsidR="00C827DC" w:rsidRPr="00006770">
        <w:rPr>
          <w:sz w:val="20"/>
          <w:szCs w:val="20"/>
          <w:u w:val="single"/>
        </w:rPr>
        <w:lastRenderedPageBreak/>
        <w:t>Documentation submitted</w:t>
      </w:r>
    </w:p>
    <w:p w14:paraId="2728A850" w14:textId="77777777" w:rsidR="00C827DC" w:rsidRDefault="00C827DC">
      <w:pPr>
        <w:pStyle w:val="BodyText"/>
        <w:tabs>
          <w:tab w:val="left" w:pos="1080"/>
          <w:tab w:val="left" w:pos="7020"/>
        </w:tabs>
        <w:rPr>
          <w:i w:val="0"/>
          <w:iCs w:val="0"/>
          <w:sz w:val="16"/>
        </w:rPr>
      </w:pPr>
      <w:r>
        <w:rPr>
          <w:i w:val="0"/>
          <w:iCs w:val="0"/>
        </w:rPr>
        <w:t xml:space="preserve"> </w:t>
      </w:r>
    </w:p>
    <w:p w14:paraId="5DCDCDAB" w14:textId="77777777" w:rsidR="00C827DC" w:rsidRDefault="00C827DC">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3B57F356" w14:textId="77777777" w:rsidR="00C827DC" w:rsidRDefault="00C827DC">
      <w:pPr>
        <w:jc w:val="both"/>
        <w:rPr>
          <w:sz w:val="16"/>
        </w:rPr>
      </w:pPr>
    </w:p>
    <w:p w14:paraId="381EF865" w14:textId="77777777" w:rsidR="00FE229F" w:rsidRDefault="00C827DC" w:rsidP="003771FE">
      <w:pPr>
        <w:numPr>
          <w:ilvl w:val="0"/>
          <w:numId w:val="10"/>
        </w:numPr>
        <w:ind w:hanging="540"/>
        <w:jc w:val="both"/>
        <w:rPr>
          <w:sz w:val="20"/>
        </w:rPr>
      </w:pPr>
      <w:r w:rsidRPr="00FE229F">
        <w:rPr>
          <w:sz w:val="20"/>
        </w:rPr>
        <w:t xml:space="preserve">Fully completed, signed </w:t>
      </w:r>
      <w:r w:rsidR="0000284A" w:rsidRPr="00FE229F">
        <w:rPr>
          <w:sz w:val="20"/>
        </w:rPr>
        <w:t>Form RA/1</w:t>
      </w:r>
      <w:r w:rsidR="00FE229F" w:rsidRPr="00FE229F">
        <w:rPr>
          <w:sz w:val="20"/>
        </w:rPr>
        <w:t>;</w:t>
      </w:r>
    </w:p>
    <w:p w14:paraId="172BFF7A" w14:textId="77777777" w:rsidR="00FE229F" w:rsidRDefault="00FE229F" w:rsidP="00FE229F">
      <w:pPr>
        <w:ind w:left="1080"/>
        <w:jc w:val="both"/>
        <w:rPr>
          <w:sz w:val="20"/>
        </w:rPr>
      </w:pPr>
    </w:p>
    <w:p w14:paraId="0DF4BB6C" w14:textId="77777777" w:rsidR="00C827DC" w:rsidRPr="00FE229F" w:rsidRDefault="00FE229F" w:rsidP="003771FE">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portal</w:t>
      </w:r>
      <w:r w:rsidR="00C827DC" w:rsidRPr="00FE229F">
        <w:rPr>
          <w:sz w:val="20"/>
        </w:rPr>
        <w:t>;</w:t>
      </w:r>
    </w:p>
    <w:p w14:paraId="00C6D862" w14:textId="77777777" w:rsidR="00B802D9" w:rsidRDefault="00B802D9" w:rsidP="00B802D9">
      <w:pPr>
        <w:ind w:left="540"/>
        <w:jc w:val="both"/>
        <w:rPr>
          <w:sz w:val="20"/>
        </w:rPr>
      </w:pPr>
    </w:p>
    <w:p w14:paraId="6767D947"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1607630C" w14:textId="77777777" w:rsidR="000D6949" w:rsidRDefault="000D6949" w:rsidP="000D6949">
      <w:pPr>
        <w:jc w:val="both"/>
        <w:rPr>
          <w:sz w:val="20"/>
        </w:rPr>
      </w:pPr>
    </w:p>
    <w:p w14:paraId="346F71AB" w14:textId="77777777" w:rsidR="000D6949" w:rsidRPr="00CA7C6E" w:rsidRDefault="000D6949" w:rsidP="000D6949">
      <w:pPr>
        <w:numPr>
          <w:ilvl w:val="1"/>
          <w:numId w:val="10"/>
        </w:numPr>
        <w:tabs>
          <w:tab w:val="clear" w:pos="1800"/>
          <w:tab w:val="num" w:pos="1080"/>
        </w:tabs>
        <w:ind w:left="1080" w:hanging="540"/>
        <w:jc w:val="both"/>
        <w:rPr>
          <w:sz w:val="20"/>
        </w:rPr>
      </w:pPr>
      <w:r w:rsidRPr="00CA7C6E">
        <w:rPr>
          <w:sz w:val="20"/>
        </w:rPr>
        <w:t>Confirmation that the applicant has been incorporated or established (as appropriate);</w:t>
      </w:r>
    </w:p>
    <w:p w14:paraId="32686A57" w14:textId="77777777" w:rsidR="008976D7" w:rsidRDefault="008976D7" w:rsidP="008976D7">
      <w:pPr>
        <w:jc w:val="both"/>
        <w:rPr>
          <w:sz w:val="20"/>
        </w:rPr>
      </w:pPr>
    </w:p>
    <w:p w14:paraId="6AC44E70" w14:textId="77777777"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together with the relevant directors’ confirmation in respect of the applicant’s financial resources provisions (as required under 2.</w:t>
      </w:r>
      <w:r w:rsidR="00D9217E">
        <w:rPr>
          <w:sz w:val="20"/>
        </w:rPr>
        <w:t>2.4</w:t>
      </w:r>
      <w:r>
        <w:rPr>
          <w:sz w:val="20"/>
        </w:rPr>
        <w:t xml:space="preserve"> of the Licensees</w:t>
      </w:r>
      <w:r w:rsidR="00D9217E">
        <w:rPr>
          <w:sz w:val="20"/>
        </w:rPr>
        <w:t xml:space="preserve"> (Capital Adequacy) </w:t>
      </w:r>
      <w:r>
        <w:rPr>
          <w:sz w:val="20"/>
        </w:rPr>
        <w:t xml:space="preserve">Rules </w:t>
      </w:r>
      <w:r w:rsidR="00D9217E">
        <w:rPr>
          <w:sz w:val="20"/>
        </w:rPr>
        <w:t>2010</w:t>
      </w:r>
      <w:r w:rsidR="00F66A72">
        <w:rPr>
          <w:sz w:val="20"/>
        </w:rPr>
        <w:t>)</w:t>
      </w:r>
      <w:r w:rsidR="000D46BE">
        <w:rPr>
          <w:sz w:val="20"/>
        </w:rPr>
        <w:t>;</w:t>
      </w:r>
    </w:p>
    <w:p w14:paraId="08021FCB" w14:textId="77777777" w:rsidR="00D94503" w:rsidRDefault="00D94503" w:rsidP="00D94503">
      <w:pPr>
        <w:jc w:val="both"/>
        <w:rPr>
          <w:sz w:val="20"/>
        </w:rPr>
      </w:pPr>
    </w:p>
    <w:p w14:paraId="548A6106" w14:textId="77777777"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xml:space="preserve">, together with the administrator’s documented assessment of the fitness and properness of the applicant for a licence, (See Note </w:t>
      </w:r>
      <w:r w:rsidR="00DB6386">
        <w:rPr>
          <w:sz w:val="20"/>
        </w:rPr>
        <w:t>1</w:t>
      </w:r>
      <w:r w:rsidR="00850C7C">
        <w:rPr>
          <w:sz w:val="20"/>
        </w:rPr>
        <w:t>)</w:t>
      </w:r>
      <w:r w:rsidR="000D46BE">
        <w:rPr>
          <w:sz w:val="20"/>
        </w:rPr>
        <w:t>;</w:t>
      </w:r>
      <w:r>
        <w:rPr>
          <w:sz w:val="20"/>
        </w:rPr>
        <w:t xml:space="preserve">  </w:t>
      </w:r>
    </w:p>
    <w:p w14:paraId="5BB8F872" w14:textId="77777777" w:rsidR="00C827DC" w:rsidRDefault="00C827DC">
      <w:pPr>
        <w:spacing w:line="120" w:lineRule="auto"/>
        <w:ind w:left="181"/>
        <w:jc w:val="both"/>
        <w:rPr>
          <w:sz w:val="20"/>
        </w:rPr>
      </w:pPr>
    </w:p>
    <w:p w14:paraId="62202260" w14:textId="77777777" w:rsidR="000D46BE"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0D46BE">
        <w:rPr>
          <w:sz w:val="20"/>
        </w:rPr>
        <w:t xml:space="preserve">; </w:t>
      </w:r>
    </w:p>
    <w:p w14:paraId="05D3AB79" w14:textId="77777777" w:rsidR="000D46BE" w:rsidRDefault="000D46BE" w:rsidP="00CA7C6E">
      <w:pPr>
        <w:ind w:left="1080"/>
        <w:jc w:val="both"/>
        <w:rPr>
          <w:noProof/>
          <w:sz w:val="20"/>
        </w:rPr>
      </w:pPr>
    </w:p>
    <w:p w14:paraId="2465F855" w14:textId="77777777" w:rsidR="0045432D" w:rsidRDefault="000D46BE">
      <w:pPr>
        <w:numPr>
          <w:ilvl w:val="0"/>
          <w:numId w:val="10"/>
        </w:numPr>
        <w:ind w:hanging="540"/>
        <w:jc w:val="both"/>
        <w:rPr>
          <w:noProof/>
          <w:sz w:val="20"/>
        </w:rPr>
      </w:pPr>
      <w:r>
        <w:rPr>
          <w:sz w:val="20"/>
        </w:rPr>
        <w:t xml:space="preserve">Where the applicant will be conducting restricted activity in respect of overseas collective investment schemes, </w:t>
      </w:r>
      <w:r w:rsidR="00D15A91">
        <w:rPr>
          <w:sz w:val="20"/>
        </w:rPr>
        <w:t>a fully completed Form NGSF for each open ended scheme</w:t>
      </w:r>
      <w:r w:rsidR="0016160B">
        <w:rPr>
          <w:sz w:val="20"/>
        </w:rPr>
        <w:t xml:space="preserve"> (see N</w:t>
      </w:r>
      <w:r w:rsidR="00DB6386">
        <w:rPr>
          <w:sz w:val="20"/>
        </w:rPr>
        <w:t>ote 2</w:t>
      </w:r>
      <w:r w:rsidR="0016160B">
        <w:rPr>
          <w:sz w:val="20"/>
        </w:rPr>
        <w:t>)</w:t>
      </w:r>
      <w:r w:rsidR="00D15A91">
        <w:rPr>
          <w:sz w:val="20"/>
        </w:rPr>
        <w:t xml:space="preserve"> and </w:t>
      </w:r>
      <w:r>
        <w:rPr>
          <w:sz w:val="20"/>
        </w:rPr>
        <w:t xml:space="preserve">the names, jurisdiction and regulatory status of </w:t>
      </w:r>
      <w:r w:rsidR="00D15A91">
        <w:rPr>
          <w:sz w:val="20"/>
        </w:rPr>
        <w:t xml:space="preserve">any closed </w:t>
      </w:r>
      <w:r w:rsidR="002F12A7">
        <w:rPr>
          <w:sz w:val="20"/>
        </w:rPr>
        <w:t>ended schemes</w:t>
      </w:r>
      <w:r w:rsidR="0045432D">
        <w:rPr>
          <w:sz w:val="20"/>
        </w:rPr>
        <w:t>.</w:t>
      </w:r>
      <w:r w:rsidR="0016160B">
        <w:rPr>
          <w:sz w:val="20"/>
        </w:rPr>
        <w:t xml:space="preserve"> </w:t>
      </w:r>
    </w:p>
    <w:p w14:paraId="76F49145" w14:textId="77777777" w:rsidR="0045432D" w:rsidRDefault="0045432D" w:rsidP="00CA7C6E">
      <w:pPr>
        <w:pStyle w:val="ListParagraph"/>
        <w:rPr>
          <w:i/>
          <w:iCs/>
          <w:sz w:val="20"/>
        </w:rPr>
      </w:pPr>
    </w:p>
    <w:p w14:paraId="1F75ED58" w14:textId="77777777" w:rsidR="00C827DC" w:rsidRDefault="00C827DC">
      <w:pPr>
        <w:jc w:val="both"/>
        <w:rPr>
          <w:noProof/>
          <w:sz w:val="18"/>
        </w:rPr>
      </w:pPr>
      <w:r>
        <w:rPr>
          <w:i/>
          <w:iCs/>
          <w:sz w:val="20"/>
        </w:rPr>
        <w:t xml:space="preserve"> </w:t>
      </w:r>
    </w:p>
    <w:tbl>
      <w:tblPr>
        <w:tblW w:w="10546" w:type="dxa"/>
        <w:tblLook w:val="0000" w:firstRow="0" w:lastRow="0" w:firstColumn="0" w:lastColumn="0" w:noHBand="0" w:noVBand="0"/>
      </w:tblPr>
      <w:tblGrid>
        <w:gridCol w:w="2986"/>
        <w:gridCol w:w="4007"/>
        <w:gridCol w:w="917"/>
        <w:gridCol w:w="2636"/>
      </w:tblGrid>
      <w:tr w:rsidR="00C827DC" w14:paraId="7F43169F" w14:textId="77777777" w:rsidTr="0050654D">
        <w:trPr>
          <w:trHeight w:val="478"/>
        </w:trPr>
        <w:tc>
          <w:tcPr>
            <w:tcW w:w="2986" w:type="dxa"/>
            <w:tcBorders>
              <w:right w:val="single" w:sz="4" w:space="0" w:color="auto"/>
            </w:tcBorders>
          </w:tcPr>
          <w:p w14:paraId="0A1F0464" w14:textId="77777777" w:rsidR="00C827DC" w:rsidRDefault="00C827DC">
            <w:pPr>
              <w:jc w:val="both"/>
              <w:rPr>
                <w:noProof/>
                <w:sz w:val="20"/>
              </w:rPr>
            </w:pPr>
            <w:r>
              <w:rPr>
                <w:noProof/>
                <w:sz w:val="20"/>
              </w:rPr>
              <w:t>Signed</w:t>
            </w:r>
            <w:r w:rsidR="001A77E0">
              <w:rPr>
                <w:noProof/>
                <w:sz w:val="20"/>
              </w:rPr>
              <w:t xml:space="preserve"> (See Note </w:t>
            </w:r>
            <w:r w:rsidR="00DB6386">
              <w:rPr>
                <w:noProof/>
                <w:sz w:val="20"/>
              </w:rPr>
              <w:t>3</w:t>
            </w:r>
            <w:r w:rsidR="001A77E0">
              <w:rPr>
                <w:noProof/>
                <w:sz w:val="20"/>
              </w:rPr>
              <w:t>)</w:t>
            </w:r>
          </w:p>
          <w:p w14:paraId="62F82560"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64BEC4CA" w14:textId="77777777" w:rsidR="00C827DC" w:rsidRDefault="00C827DC">
            <w:pPr>
              <w:jc w:val="both"/>
              <w:rPr>
                <w:noProof/>
                <w:sz w:val="18"/>
              </w:rPr>
            </w:pPr>
          </w:p>
        </w:tc>
        <w:tc>
          <w:tcPr>
            <w:tcW w:w="917" w:type="dxa"/>
            <w:tcBorders>
              <w:left w:val="single" w:sz="4" w:space="0" w:color="auto"/>
              <w:right w:val="single" w:sz="4" w:space="0" w:color="auto"/>
            </w:tcBorders>
          </w:tcPr>
          <w:p w14:paraId="05906F53"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110B72E3"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0D383674" w14:textId="77777777" w:rsidTr="0050654D">
        <w:trPr>
          <w:trHeight w:val="239"/>
        </w:trPr>
        <w:tc>
          <w:tcPr>
            <w:tcW w:w="2986" w:type="dxa"/>
          </w:tcPr>
          <w:p w14:paraId="4BC7DFC0" w14:textId="77777777" w:rsidR="00C827DC" w:rsidRDefault="00C827DC">
            <w:pPr>
              <w:jc w:val="both"/>
              <w:rPr>
                <w:noProof/>
                <w:sz w:val="16"/>
              </w:rPr>
            </w:pPr>
          </w:p>
        </w:tc>
        <w:tc>
          <w:tcPr>
            <w:tcW w:w="4007" w:type="dxa"/>
            <w:tcBorders>
              <w:top w:val="single" w:sz="4" w:space="0" w:color="auto"/>
              <w:bottom w:val="single" w:sz="4" w:space="0" w:color="auto"/>
            </w:tcBorders>
          </w:tcPr>
          <w:p w14:paraId="4DDFAAAE" w14:textId="77777777" w:rsidR="00C827DC" w:rsidRDefault="00C827DC">
            <w:pPr>
              <w:jc w:val="both"/>
              <w:rPr>
                <w:noProof/>
                <w:sz w:val="12"/>
              </w:rPr>
            </w:pPr>
          </w:p>
        </w:tc>
        <w:tc>
          <w:tcPr>
            <w:tcW w:w="917" w:type="dxa"/>
            <w:tcBorders>
              <w:bottom w:val="single" w:sz="4" w:space="0" w:color="auto"/>
            </w:tcBorders>
          </w:tcPr>
          <w:p w14:paraId="18A3BE90" w14:textId="77777777" w:rsidR="00C827DC" w:rsidRDefault="00C827DC">
            <w:pPr>
              <w:jc w:val="both"/>
              <w:rPr>
                <w:noProof/>
                <w:sz w:val="12"/>
              </w:rPr>
            </w:pPr>
          </w:p>
        </w:tc>
        <w:tc>
          <w:tcPr>
            <w:tcW w:w="2636" w:type="dxa"/>
            <w:tcBorders>
              <w:top w:val="single" w:sz="4" w:space="0" w:color="auto"/>
              <w:bottom w:val="single" w:sz="4" w:space="0" w:color="auto"/>
            </w:tcBorders>
          </w:tcPr>
          <w:p w14:paraId="5CD25C9F" w14:textId="77777777" w:rsidR="00C827DC" w:rsidRDefault="00C827DC">
            <w:pPr>
              <w:jc w:val="both"/>
              <w:rPr>
                <w:noProof/>
                <w:sz w:val="12"/>
              </w:rPr>
            </w:pPr>
          </w:p>
        </w:tc>
      </w:tr>
      <w:tr w:rsidR="00C827DC" w14:paraId="6592107C" w14:textId="77777777" w:rsidTr="0050654D">
        <w:trPr>
          <w:trHeight w:val="478"/>
        </w:trPr>
        <w:tc>
          <w:tcPr>
            <w:tcW w:w="2986" w:type="dxa"/>
            <w:tcBorders>
              <w:right w:val="single" w:sz="4" w:space="0" w:color="auto"/>
            </w:tcBorders>
          </w:tcPr>
          <w:p w14:paraId="408DA8D4" w14:textId="77777777" w:rsidR="00C827DC" w:rsidRDefault="00C827DC">
            <w:pPr>
              <w:jc w:val="both"/>
              <w:rPr>
                <w:noProof/>
                <w:sz w:val="20"/>
              </w:rPr>
            </w:pPr>
            <w:r>
              <w:rPr>
                <w:noProof/>
                <w:sz w:val="20"/>
              </w:rPr>
              <w:t>Name and position</w:t>
            </w:r>
          </w:p>
          <w:p w14:paraId="159298B2" w14:textId="77777777" w:rsidR="00C827DC" w:rsidRDefault="00850C7C">
            <w:pPr>
              <w:jc w:val="both"/>
              <w:rPr>
                <w:noProof/>
                <w:sz w:val="20"/>
              </w:rPr>
            </w:pPr>
            <w:r>
              <w:rPr>
                <w:noProof/>
                <w:sz w:val="20"/>
              </w:rPr>
              <w:t xml:space="preserve">(See Note </w:t>
            </w:r>
            <w:r w:rsidR="00DB6386">
              <w:rPr>
                <w:noProof/>
                <w:sz w:val="20"/>
              </w:rPr>
              <w:t>4</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33F8A9AD"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662C7E7" w14:textId="77777777" w:rsidTr="0050654D">
        <w:trPr>
          <w:trHeight w:val="239"/>
        </w:trPr>
        <w:tc>
          <w:tcPr>
            <w:tcW w:w="2986" w:type="dxa"/>
          </w:tcPr>
          <w:p w14:paraId="2F8F5F8E" w14:textId="77777777" w:rsidR="00C827DC" w:rsidRDefault="00C827DC">
            <w:pPr>
              <w:jc w:val="both"/>
              <w:rPr>
                <w:noProof/>
                <w:sz w:val="16"/>
              </w:rPr>
            </w:pPr>
          </w:p>
        </w:tc>
        <w:tc>
          <w:tcPr>
            <w:tcW w:w="4007" w:type="dxa"/>
            <w:tcBorders>
              <w:top w:val="single" w:sz="4" w:space="0" w:color="auto"/>
            </w:tcBorders>
          </w:tcPr>
          <w:p w14:paraId="2A51A3C1" w14:textId="77777777" w:rsidR="00C827DC" w:rsidRDefault="00C827DC">
            <w:pPr>
              <w:pStyle w:val="Heading2"/>
            </w:pPr>
          </w:p>
        </w:tc>
        <w:tc>
          <w:tcPr>
            <w:tcW w:w="917" w:type="dxa"/>
          </w:tcPr>
          <w:p w14:paraId="1903DC70" w14:textId="77777777" w:rsidR="00C827DC" w:rsidRDefault="00C827DC">
            <w:pPr>
              <w:jc w:val="both"/>
              <w:rPr>
                <w:noProof/>
                <w:sz w:val="18"/>
              </w:rPr>
            </w:pPr>
          </w:p>
        </w:tc>
        <w:tc>
          <w:tcPr>
            <w:tcW w:w="2636" w:type="dxa"/>
          </w:tcPr>
          <w:p w14:paraId="442C6671" w14:textId="77777777" w:rsidR="00C827DC" w:rsidRDefault="00C827DC">
            <w:pPr>
              <w:jc w:val="both"/>
              <w:rPr>
                <w:noProof/>
                <w:sz w:val="18"/>
              </w:rPr>
            </w:pPr>
          </w:p>
        </w:tc>
      </w:tr>
      <w:tr w:rsidR="00C827DC" w14:paraId="68E00CD2" w14:textId="77777777" w:rsidTr="0050654D">
        <w:trPr>
          <w:trHeight w:val="397"/>
        </w:trPr>
        <w:tc>
          <w:tcPr>
            <w:tcW w:w="2986" w:type="dxa"/>
            <w:tcBorders>
              <w:right w:val="single" w:sz="4" w:space="0" w:color="auto"/>
            </w:tcBorders>
          </w:tcPr>
          <w:p w14:paraId="469BD45D" w14:textId="77777777" w:rsidR="00C827DC" w:rsidRDefault="00C827DC">
            <w:pPr>
              <w:jc w:val="both"/>
              <w:rPr>
                <w:noProof/>
                <w:sz w:val="20"/>
              </w:rPr>
            </w:pPr>
            <w:r>
              <w:rPr>
                <w:noProof/>
                <w:sz w:val="20"/>
              </w:rPr>
              <w:t xml:space="preserve">Institution </w:t>
            </w:r>
          </w:p>
          <w:p w14:paraId="632EDFE8"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1850A53E"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2E99760" w14:textId="77777777" w:rsidTr="0050654D">
        <w:trPr>
          <w:trHeight w:val="239"/>
        </w:trPr>
        <w:tc>
          <w:tcPr>
            <w:tcW w:w="2986" w:type="dxa"/>
          </w:tcPr>
          <w:p w14:paraId="7658B13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4392D45C" w14:textId="77777777" w:rsidR="00C827DC" w:rsidRDefault="00C827DC">
            <w:pPr>
              <w:jc w:val="both"/>
              <w:rPr>
                <w:noProof/>
                <w:sz w:val="12"/>
              </w:rPr>
            </w:pPr>
          </w:p>
        </w:tc>
      </w:tr>
      <w:tr w:rsidR="00C827DC" w14:paraId="249C4AF4" w14:textId="77777777" w:rsidTr="0050654D">
        <w:trPr>
          <w:trHeight w:val="495"/>
        </w:trPr>
        <w:tc>
          <w:tcPr>
            <w:tcW w:w="2986" w:type="dxa"/>
            <w:tcBorders>
              <w:right w:val="single" w:sz="4" w:space="0" w:color="auto"/>
            </w:tcBorders>
          </w:tcPr>
          <w:p w14:paraId="0661226F" w14:textId="77777777" w:rsidR="00C827DC" w:rsidRDefault="00C827DC">
            <w:pPr>
              <w:jc w:val="both"/>
              <w:rPr>
                <w:noProof/>
                <w:sz w:val="20"/>
              </w:rPr>
            </w:pPr>
            <w:r>
              <w:rPr>
                <w:noProof/>
                <w:sz w:val="20"/>
              </w:rPr>
              <w:t>Address</w:t>
            </w:r>
          </w:p>
          <w:p w14:paraId="5772A6CF"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64762CA9"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64A3B0BA" w14:textId="77777777" w:rsidTr="0050654D">
        <w:trPr>
          <w:trHeight w:val="495"/>
        </w:trPr>
        <w:tc>
          <w:tcPr>
            <w:tcW w:w="2986" w:type="dxa"/>
            <w:tcBorders>
              <w:right w:val="single" w:sz="4" w:space="0" w:color="auto"/>
            </w:tcBorders>
          </w:tcPr>
          <w:p w14:paraId="1AF43A46" w14:textId="77777777" w:rsidR="00C827DC" w:rsidRDefault="00C827DC">
            <w:pPr>
              <w:jc w:val="both"/>
              <w:rPr>
                <w:noProof/>
                <w:sz w:val="20"/>
              </w:rPr>
            </w:pPr>
            <w:r>
              <w:rPr>
                <w:noProof/>
                <w:sz w:val="20"/>
              </w:rPr>
              <w:t>Telephone</w:t>
            </w:r>
            <w:r w:rsidR="001649BC">
              <w:rPr>
                <w:noProof/>
                <w:sz w:val="20"/>
              </w:rPr>
              <w:t xml:space="preserve"> number</w:t>
            </w:r>
          </w:p>
          <w:p w14:paraId="266C5BC9"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2609E505"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6BFCD72" w14:textId="77777777" w:rsidR="00850C7C" w:rsidRPr="007E163E" w:rsidRDefault="00850C7C" w:rsidP="001649BC">
      <w:pPr>
        <w:rPr>
          <w:sz w:val="20"/>
          <w:szCs w:val="20"/>
        </w:rPr>
      </w:pPr>
    </w:p>
    <w:p w14:paraId="3739949D" w14:textId="77777777" w:rsidR="00850C7C" w:rsidRPr="007E163E" w:rsidRDefault="00850C7C" w:rsidP="001649BC">
      <w:pPr>
        <w:rPr>
          <w:b/>
          <w:sz w:val="20"/>
          <w:szCs w:val="20"/>
        </w:rPr>
      </w:pPr>
      <w:r w:rsidRPr="007E163E">
        <w:rPr>
          <w:b/>
          <w:sz w:val="20"/>
          <w:szCs w:val="20"/>
        </w:rPr>
        <w:t>Notes</w:t>
      </w:r>
    </w:p>
    <w:p w14:paraId="37070ACD" w14:textId="77777777" w:rsidR="00850C7C" w:rsidRPr="007E163E" w:rsidRDefault="00850C7C" w:rsidP="001649BC">
      <w:pPr>
        <w:rPr>
          <w:sz w:val="20"/>
          <w:szCs w:val="20"/>
        </w:rPr>
      </w:pPr>
    </w:p>
    <w:p w14:paraId="2436240E" w14:textId="77777777" w:rsidR="001A77E0" w:rsidRPr="0051355B" w:rsidRDefault="00850C7C" w:rsidP="00DB6386">
      <w:pPr>
        <w:pStyle w:val="Heading3"/>
        <w:rPr>
          <w:b w:val="0"/>
          <w:sz w:val="20"/>
          <w:szCs w:val="20"/>
        </w:rPr>
      </w:pPr>
      <w:r w:rsidRPr="00FA10C4">
        <w:rPr>
          <w:b w:val="0"/>
          <w:sz w:val="20"/>
          <w:szCs w:val="20"/>
        </w:rPr>
        <w:t>Note 1:</w:t>
      </w:r>
      <w:r w:rsidRPr="007E163E">
        <w:rPr>
          <w:sz w:val="20"/>
          <w:szCs w:val="20"/>
        </w:rPr>
        <w:tab/>
      </w:r>
      <w:r w:rsidR="00DB6386" w:rsidRPr="0051355B">
        <w:rPr>
          <w:b w:val="0"/>
          <w:sz w:val="20"/>
          <w:szCs w:val="20"/>
        </w:rPr>
        <w:t>This documentation will not be returned to the administrator unless specifically requested. The administrator may be subject to a post facto review by the Commission of its due diligence on the applicant</w:t>
      </w:r>
    </w:p>
    <w:p w14:paraId="4C11EECC" w14:textId="77777777" w:rsidR="00FA10C4" w:rsidRPr="00DB6386" w:rsidRDefault="00FA10C4" w:rsidP="001A77E0">
      <w:pPr>
        <w:pStyle w:val="Heading3"/>
        <w:rPr>
          <w:b w:val="0"/>
          <w:sz w:val="20"/>
          <w:szCs w:val="20"/>
        </w:rPr>
      </w:pPr>
    </w:p>
    <w:p w14:paraId="6702ED69" w14:textId="65341D4C" w:rsidR="00DB6386" w:rsidRPr="00437899" w:rsidRDefault="00FA10C4" w:rsidP="00DB6386">
      <w:pPr>
        <w:tabs>
          <w:tab w:val="left" w:pos="851"/>
        </w:tabs>
        <w:rPr>
          <w:sz w:val="20"/>
          <w:szCs w:val="20"/>
        </w:rPr>
      </w:pPr>
      <w:r>
        <w:rPr>
          <w:sz w:val="20"/>
          <w:szCs w:val="20"/>
        </w:rPr>
        <w:t>Note 2:</w:t>
      </w:r>
      <w:r>
        <w:rPr>
          <w:sz w:val="20"/>
          <w:szCs w:val="20"/>
        </w:rPr>
        <w:tab/>
      </w:r>
      <w:r w:rsidR="00DB6386" w:rsidRPr="00437899">
        <w:rPr>
          <w:sz w:val="20"/>
          <w:szCs w:val="20"/>
        </w:rPr>
        <w:t xml:space="preserve">The Form NGSF </w:t>
      </w:r>
      <w:r w:rsidR="00A03BC5">
        <w:rPr>
          <w:sz w:val="20"/>
          <w:szCs w:val="20"/>
        </w:rPr>
        <w:t xml:space="preserve">(Non Guernsey Scheme Fast </w:t>
      </w:r>
      <w:r w:rsidR="00F728E5">
        <w:rPr>
          <w:sz w:val="20"/>
          <w:szCs w:val="20"/>
        </w:rPr>
        <w:t>T</w:t>
      </w:r>
      <w:r w:rsidR="00A03BC5">
        <w:rPr>
          <w:sz w:val="20"/>
          <w:szCs w:val="20"/>
        </w:rPr>
        <w:t xml:space="preserve">rack) </w:t>
      </w:r>
      <w:r w:rsidR="00DB6386" w:rsidRPr="00437899">
        <w:rPr>
          <w:sz w:val="20"/>
          <w:szCs w:val="20"/>
        </w:rPr>
        <w:t>may be adapted for more than one overseas collective investment scheme and efficiencies in our review will be sought where possible however; depending on the number of schemes and the variances between them up to 2 days per scheme for processing may be required.</w:t>
      </w:r>
      <w:r w:rsidR="00DB6386">
        <w:rPr>
          <w:sz w:val="20"/>
          <w:szCs w:val="20"/>
        </w:rPr>
        <w:t xml:space="preserve"> This is in addition to the 10 days for processing the Form FTL and Form RA1. </w:t>
      </w:r>
      <w:r w:rsidR="00DB6386" w:rsidRPr="00437899">
        <w:rPr>
          <w:sz w:val="20"/>
          <w:szCs w:val="20"/>
        </w:rPr>
        <w:t xml:space="preserve">    A fee will be charged for each individual scheme up to 25 promoted by </w:t>
      </w:r>
      <w:r w:rsidR="00CC6D7E">
        <w:rPr>
          <w:sz w:val="20"/>
          <w:szCs w:val="20"/>
        </w:rPr>
        <w:t>the same party, thereafter the C</w:t>
      </w:r>
      <w:r w:rsidR="00DB6386" w:rsidRPr="00437899">
        <w:rPr>
          <w:sz w:val="20"/>
          <w:szCs w:val="20"/>
        </w:rPr>
        <w:t xml:space="preserve">ommission may at its absolute discretion vary the fee. </w:t>
      </w:r>
    </w:p>
    <w:p w14:paraId="765AC529" w14:textId="77777777" w:rsidR="00850C7C" w:rsidRPr="007E163E" w:rsidRDefault="00850C7C" w:rsidP="0051355B">
      <w:pPr>
        <w:tabs>
          <w:tab w:val="left" w:pos="851"/>
        </w:tabs>
        <w:rPr>
          <w:sz w:val="20"/>
          <w:szCs w:val="20"/>
        </w:rPr>
      </w:pPr>
    </w:p>
    <w:p w14:paraId="134AA4F1" w14:textId="77777777" w:rsidR="0016160B" w:rsidRDefault="00FA10C4" w:rsidP="0051355B">
      <w:pPr>
        <w:tabs>
          <w:tab w:val="left" w:pos="851"/>
        </w:tabs>
        <w:rPr>
          <w:sz w:val="20"/>
          <w:szCs w:val="20"/>
        </w:rPr>
      </w:pPr>
      <w:r>
        <w:rPr>
          <w:sz w:val="20"/>
          <w:szCs w:val="20"/>
        </w:rPr>
        <w:t>Note 3</w:t>
      </w:r>
      <w:r w:rsidR="00850C7C" w:rsidRPr="007E163E">
        <w:rPr>
          <w:sz w:val="20"/>
          <w:szCs w:val="20"/>
        </w:rPr>
        <w:t>:</w:t>
      </w:r>
      <w:r w:rsidR="00850C7C" w:rsidRPr="007E163E">
        <w:rPr>
          <w:sz w:val="20"/>
          <w:szCs w:val="20"/>
        </w:rPr>
        <w:tab/>
        <w:t>The form must be signed by a director, or in relation to an unincorporated body, any member of the committee or similar governing body, of the administrator.</w:t>
      </w:r>
    </w:p>
    <w:p w14:paraId="31A66C85" w14:textId="77777777" w:rsidR="0016160B" w:rsidRDefault="0016160B" w:rsidP="0051355B">
      <w:pPr>
        <w:tabs>
          <w:tab w:val="left" w:pos="851"/>
        </w:tabs>
        <w:rPr>
          <w:sz w:val="20"/>
          <w:szCs w:val="20"/>
        </w:rPr>
      </w:pPr>
    </w:p>
    <w:p w14:paraId="589E0248" w14:textId="77777777" w:rsidR="00DB6386" w:rsidRPr="001A77E0" w:rsidRDefault="0016160B" w:rsidP="00DB6386">
      <w:pPr>
        <w:pStyle w:val="Heading3"/>
        <w:rPr>
          <w:sz w:val="20"/>
          <w:szCs w:val="20"/>
        </w:rPr>
      </w:pPr>
      <w:r w:rsidRPr="0051355B">
        <w:rPr>
          <w:b w:val="0"/>
          <w:sz w:val="20"/>
          <w:szCs w:val="20"/>
        </w:rPr>
        <w:t>Note 4:</w:t>
      </w:r>
      <w:r>
        <w:rPr>
          <w:sz w:val="20"/>
          <w:szCs w:val="20"/>
        </w:rPr>
        <w:t xml:space="preserve">     </w:t>
      </w:r>
      <w:r w:rsidR="00DB6386">
        <w:rPr>
          <w:sz w:val="20"/>
          <w:szCs w:val="20"/>
        </w:rPr>
        <w:t>T</w:t>
      </w:r>
      <w:r w:rsidR="00DB6386" w:rsidRPr="001A77E0">
        <w:rPr>
          <w:sz w:val="20"/>
          <w:szCs w:val="20"/>
        </w:rPr>
        <w:t>he Data Protection (Bailiwick of Guernsey) Law, 2017</w:t>
      </w:r>
    </w:p>
    <w:p w14:paraId="40CA6770" w14:textId="77777777" w:rsidR="00DB6386" w:rsidRPr="001A77E0" w:rsidRDefault="00DB6386" w:rsidP="00DB6386">
      <w:pPr>
        <w:pStyle w:val="Heading3"/>
        <w:rPr>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1A77E0">
          <w:rPr>
            <w:rStyle w:val="Hyperlink"/>
            <w:b w:val="0"/>
            <w:sz w:val="20"/>
            <w:szCs w:val="20"/>
          </w:rPr>
          <w:t>www.gfsc.gg/data-protection</w:t>
        </w:r>
      </w:hyperlink>
    </w:p>
    <w:p w14:paraId="2FEF0104" w14:textId="77777777" w:rsidR="0016160B" w:rsidRPr="007E163E" w:rsidRDefault="0016160B" w:rsidP="00850C7C">
      <w:pPr>
        <w:tabs>
          <w:tab w:val="left" w:pos="851"/>
        </w:tabs>
        <w:rPr>
          <w:sz w:val="20"/>
          <w:szCs w:val="20"/>
        </w:rPr>
      </w:pPr>
    </w:p>
    <w:sectPr w:rsidR="0016160B" w:rsidRPr="007E163E" w:rsidSect="001649BC">
      <w:headerReference w:type="default" r:id="rId16"/>
      <w:footerReference w:type="default" r:id="rId17"/>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F160" w14:textId="77777777" w:rsidR="0043193C" w:rsidRDefault="0043193C">
      <w:r>
        <w:separator/>
      </w:r>
    </w:p>
  </w:endnote>
  <w:endnote w:type="continuationSeparator" w:id="0">
    <w:p w14:paraId="4A983190" w14:textId="77777777" w:rsidR="0043193C" w:rsidRDefault="0043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2EDC" w14:textId="67E2EC47" w:rsidR="009F573C" w:rsidRDefault="009F573C" w:rsidP="009F573C">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10584E">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10584E">
      <w:rPr>
        <w:noProof/>
        <w:color w:val="17365D" w:themeColor="text2" w:themeShade="BF"/>
      </w:rPr>
      <w:t>2</w:t>
    </w:r>
    <w:r>
      <w:rPr>
        <w:color w:val="17365D" w:themeColor="text2" w:themeShade="BF"/>
      </w:rPr>
      <w:fldChar w:fldCharType="end"/>
    </w:r>
  </w:p>
  <w:p w14:paraId="5E9A95C5" w14:textId="77777777" w:rsidR="009F573C" w:rsidRDefault="009F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CD35" w14:textId="77777777" w:rsidR="0043193C" w:rsidRDefault="0043193C">
      <w:r>
        <w:separator/>
      </w:r>
    </w:p>
  </w:footnote>
  <w:footnote w:type="continuationSeparator" w:id="0">
    <w:p w14:paraId="358C4F13" w14:textId="77777777" w:rsidR="0043193C" w:rsidRDefault="0043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7F7F" w14:textId="5CF52105" w:rsidR="00CA7C6E" w:rsidRPr="0050776F" w:rsidRDefault="00A03BC5"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Fast Track licence                                                                                                    </w:t>
    </w:r>
    <w:r w:rsidR="003777DF">
      <w:rPr>
        <w:rFonts w:ascii="Times New Roman" w:hAnsi="Times New Roman" w:cs="Times New Roman"/>
        <w:smallCaps/>
      </w:rPr>
      <w:t xml:space="preserve">                </w:t>
    </w:r>
    <w:r>
      <w:rPr>
        <w:rFonts w:ascii="Times New Roman" w:hAnsi="Times New Roman" w:cs="Times New Roman"/>
        <w:smallCaps/>
      </w:rPr>
      <w:t xml:space="preserve">     </w:t>
    </w:r>
    <w:r w:rsidR="00CA7C6E">
      <w:rPr>
        <w:rFonts w:ascii="Times New Roman" w:hAnsi="Times New Roman" w:cs="Times New Roman"/>
        <w:smallCaps/>
      </w:rPr>
      <w:t xml:space="preserve">Form FTL </w:t>
    </w:r>
    <w:r w:rsidR="003777DF">
      <w:rPr>
        <w:rFonts w:ascii="Times New Roman" w:hAnsi="Times New Roman" w:cs="Times New Roman"/>
        <w:smallCaps/>
      </w:rPr>
      <w:t xml:space="preserve">JUNE </w:t>
    </w:r>
    <w:r w:rsidR="00CA7C6E">
      <w:rPr>
        <w:rFonts w:ascii="Times New Roman" w:hAnsi="Times New Roman" w:cs="Times New Roman"/>
        <w:smallCaps/>
      </w:rPr>
      <w:t>20</w:t>
    </w:r>
    <w:r w:rsidR="006771D7">
      <w:rPr>
        <w:rFonts w:ascii="Times New Roman" w:hAnsi="Times New Roman" w:cs="Times New Roman"/>
        <w:smallCaps/>
      </w:rPr>
      <w:t>20</w:t>
    </w:r>
  </w:p>
  <w:p w14:paraId="2D72DC11" w14:textId="77777777" w:rsidR="00CA7C6E" w:rsidRDefault="00CA7C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CE1"/>
    <w:multiLevelType w:val="hybridMultilevel"/>
    <w:tmpl w:val="172A25EA"/>
    <w:lvl w:ilvl="0" w:tplc="CDDE6702">
      <w:start w:val="1"/>
      <w:numFmt w:val="bullet"/>
      <w:lvlText w:val=""/>
      <w:lvlJc w:val="left"/>
      <w:pPr>
        <w:ind w:left="360" w:hanging="360"/>
      </w:pPr>
      <w:rPr>
        <w:rFonts w:ascii="Symbol" w:hAnsi="Symbol" w:hint="default"/>
        <w:color w:val="00000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1"/>
  </w:num>
  <w:num w:numId="7">
    <w:abstractNumId w:val="4"/>
  </w:num>
  <w:num w:numId="8">
    <w:abstractNumId w:val="9"/>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DC"/>
    <w:rsid w:val="000016E0"/>
    <w:rsid w:val="0000284A"/>
    <w:rsid w:val="00006770"/>
    <w:rsid w:val="00071FA4"/>
    <w:rsid w:val="000A2867"/>
    <w:rsid w:val="000B1D17"/>
    <w:rsid w:val="000D46BE"/>
    <w:rsid w:val="000D6949"/>
    <w:rsid w:val="000E294D"/>
    <w:rsid w:val="0010584E"/>
    <w:rsid w:val="0016160B"/>
    <w:rsid w:val="00162375"/>
    <w:rsid w:val="001649BC"/>
    <w:rsid w:val="0017207F"/>
    <w:rsid w:val="00174D0B"/>
    <w:rsid w:val="00183713"/>
    <w:rsid w:val="00185C78"/>
    <w:rsid w:val="001A77E0"/>
    <w:rsid w:val="00215C3B"/>
    <w:rsid w:val="002201D9"/>
    <w:rsid w:val="0022591C"/>
    <w:rsid w:val="00247234"/>
    <w:rsid w:val="002473F7"/>
    <w:rsid w:val="00252B28"/>
    <w:rsid w:val="002A1A56"/>
    <w:rsid w:val="002C7F73"/>
    <w:rsid w:val="002D55D8"/>
    <w:rsid w:val="002F12A7"/>
    <w:rsid w:val="0031159B"/>
    <w:rsid w:val="00314296"/>
    <w:rsid w:val="003168D9"/>
    <w:rsid w:val="0034069B"/>
    <w:rsid w:val="00364D8E"/>
    <w:rsid w:val="003771FE"/>
    <w:rsid w:val="003777DF"/>
    <w:rsid w:val="003A029C"/>
    <w:rsid w:val="003C3978"/>
    <w:rsid w:val="003F7B0A"/>
    <w:rsid w:val="00401C98"/>
    <w:rsid w:val="00402527"/>
    <w:rsid w:val="00425956"/>
    <w:rsid w:val="00425F89"/>
    <w:rsid w:val="0043193C"/>
    <w:rsid w:val="0045255F"/>
    <w:rsid w:val="0045432D"/>
    <w:rsid w:val="0050654D"/>
    <w:rsid w:val="0051355B"/>
    <w:rsid w:val="00524DF7"/>
    <w:rsid w:val="00574D9D"/>
    <w:rsid w:val="00576114"/>
    <w:rsid w:val="005E30E0"/>
    <w:rsid w:val="0063059B"/>
    <w:rsid w:val="006771D7"/>
    <w:rsid w:val="006925A9"/>
    <w:rsid w:val="006E3798"/>
    <w:rsid w:val="00723BFB"/>
    <w:rsid w:val="007626D3"/>
    <w:rsid w:val="007B2231"/>
    <w:rsid w:val="007C08E4"/>
    <w:rsid w:val="007E163E"/>
    <w:rsid w:val="00850C7C"/>
    <w:rsid w:val="00860E64"/>
    <w:rsid w:val="00876D65"/>
    <w:rsid w:val="0089393B"/>
    <w:rsid w:val="008976D7"/>
    <w:rsid w:val="008A4D3C"/>
    <w:rsid w:val="0091670E"/>
    <w:rsid w:val="00965EAF"/>
    <w:rsid w:val="009F573C"/>
    <w:rsid w:val="00A03BC5"/>
    <w:rsid w:val="00A35370"/>
    <w:rsid w:val="00A374F6"/>
    <w:rsid w:val="00A84201"/>
    <w:rsid w:val="00A93C22"/>
    <w:rsid w:val="00AB388B"/>
    <w:rsid w:val="00AC5FF5"/>
    <w:rsid w:val="00AE1310"/>
    <w:rsid w:val="00B33EE5"/>
    <w:rsid w:val="00B503CE"/>
    <w:rsid w:val="00B63090"/>
    <w:rsid w:val="00B802D9"/>
    <w:rsid w:val="00C034B7"/>
    <w:rsid w:val="00C37882"/>
    <w:rsid w:val="00C57D58"/>
    <w:rsid w:val="00C60F7D"/>
    <w:rsid w:val="00C77C78"/>
    <w:rsid w:val="00C827DC"/>
    <w:rsid w:val="00C970ED"/>
    <w:rsid w:val="00CA7C6E"/>
    <w:rsid w:val="00CB1EC2"/>
    <w:rsid w:val="00CB67D5"/>
    <w:rsid w:val="00CC6D7E"/>
    <w:rsid w:val="00CD72EB"/>
    <w:rsid w:val="00D15A91"/>
    <w:rsid w:val="00D535A5"/>
    <w:rsid w:val="00D674A4"/>
    <w:rsid w:val="00D9217E"/>
    <w:rsid w:val="00D94503"/>
    <w:rsid w:val="00DB6386"/>
    <w:rsid w:val="00DC601F"/>
    <w:rsid w:val="00DF46E3"/>
    <w:rsid w:val="00E261C5"/>
    <w:rsid w:val="00E65436"/>
    <w:rsid w:val="00EC1975"/>
    <w:rsid w:val="00ED447D"/>
    <w:rsid w:val="00F23FD2"/>
    <w:rsid w:val="00F46C7F"/>
    <w:rsid w:val="00F66A72"/>
    <w:rsid w:val="00F728E5"/>
    <w:rsid w:val="00F96810"/>
    <w:rsid w:val="00FA10C4"/>
    <w:rsid w:val="00FD552B"/>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14536"/>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styleId="CommentReference">
    <w:name w:val="annotation reference"/>
    <w:basedOn w:val="DefaultParagraphFont"/>
    <w:semiHidden/>
    <w:unhideWhenUsed/>
    <w:rsid w:val="003771FE"/>
    <w:rPr>
      <w:sz w:val="16"/>
      <w:szCs w:val="16"/>
    </w:rPr>
  </w:style>
  <w:style w:type="paragraph" w:styleId="CommentText">
    <w:name w:val="annotation text"/>
    <w:basedOn w:val="Normal"/>
    <w:link w:val="CommentTextChar"/>
    <w:semiHidden/>
    <w:unhideWhenUsed/>
    <w:rsid w:val="003771FE"/>
    <w:rPr>
      <w:sz w:val="20"/>
      <w:szCs w:val="20"/>
    </w:rPr>
  </w:style>
  <w:style w:type="character" w:customStyle="1" w:styleId="CommentTextChar">
    <w:name w:val="Comment Text Char"/>
    <w:basedOn w:val="DefaultParagraphFont"/>
    <w:link w:val="CommentText"/>
    <w:semiHidden/>
    <w:rsid w:val="003771FE"/>
    <w:rPr>
      <w:lang w:eastAsia="en-US"/>
    </w:rPr>
  </w:style>
  <w:style w:type="paragraph" w:styleId="CommentSubject">
    <w:name w:val="annotation subject"/>
    <w:basedOn w:val="CommentText"/>
    <w:next w:val="CommentText"/>
    <w:link w:val="CommentSubjectChar"/>
    <w:semiHidden/>
    <w:unhideWhenUsed/>
    <w:rsid w:val="003771FE"/>
    <w:rPr>
      <w:b/>
      <w:bCs/>
    </w:rPr>
  </w:style>
  <w:style w:type="character" w:customStyle="1" w:styleId="CommentSubjectChar">
    <w:name w:val="Comment Subject Char"/>
    <w:basedOn w:val="CommentTextChar"/>
    <w:link w:val="CommentSubject"/>
    <w:semiHidden/>
    <w:rsid w:val="003771FE"/>
    <w:rPr>
      <w:b/>
      <w:bCs/>
      <w:lang w:eastAsia="en-US"/>
    </w:rPr>
  </w:style>
  <w:style w:type="paragraph" w:styleId="Revision">
    <w:name w:val="Revision"/>
    <w:hidden/>
    <w:uiPriority w:val="99"/>
    <w:semiHidden/>
    <w:rsid w:val="0022591C"/>
    <w:rPr>
      <w:sz w:val="24"/>
      <w:szCs w:val="24"/>
      <w:lang w:eastAsia="en-US"/>
    </w:rPr>
  </w:style>
  <w:style w:type="character" w:customStyle="1" w:styleId="FooterChar">
    <w:name w:val="Footer Char"/>
    <w:basedOn w:val="DefaultParagraphFont"/>
    <w:link w:val="Footer"/>
    <w:uiPriority w:val="99"/>
    <w:rsid w:val="009F57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EEF321AD7C249BCAED98608C819CF" ma:contentTypeVersion="0" ma:contentTypeDescription="Create a new document." ma:contentTypeScope="" ma:versionID="ca2be388f9403bec197f7be3a5cf346c">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IDOC-314-548</_dlc_DocId>
    <_dlc_DocIdUrl xmlns="fa6e2a44-9453-4c76-a25e-25bae84753e2">
      <Url>http://intranet/Fiduciary/_layouts/15/DocIdRedir.aspx?ID=IDOC-314-548</Url>
      <Description>IDOC-314-548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2.xml><?xml version="1.0" encoding="utf-8"?>
<ds:datastoreItem xmlns:ds="http://schemas.openxmlformats.org/officeDocument/2006/customXml" ds:itemID="{09DDE4D9-A7CE-43C9-9460-2E6512061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6CF1E-B683-489A-B01E-BD263968A2DD}">
  <ds:schemaRefs>
    <ds:schemaRef ds:uri="http://schemas.microsoft.com/sharepoint/events"/>
  </ds:schemaRefs>
</ds:datastoreItem>
</file>

<file path=customXml/itemProps4.xml><?xml version="1.0" encoding="utf-8"?>
<ds:datastoreItem xmlns:ds="http://schemas.openxmlformats.org/officeDocument/2006/customXml" ds:itemID="{541F20F8-2691-4E57-BDA0-6F0371EE2353}">
  <ds:schemaRefs>
    <ds:schemaRef ds:uri="http://purl.org/dc/elements/1.1/"/>
    <ds:schemaRef ds:uri="http://schemas.microsoft.com/office/2006/metadata/properties"/>
    <ds:schemaRef ds:uri="http://purl.org/dc/terms/"/>
    <ds:schemaRef ds:uri="http://schemas.openxmlformats.org/package/2006/metadata/core-properties"/>
    <ds:schemaRef ds:uri="fa6e2a44-9453-4c76-a25e-25bae84753e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6.xml><?xml version="1.0" encoding="utf-8"?>
<ds:datastoreItem xmlns:ds="http://schemas.openxmlformats.org/officeDocument/2006/customXml" ds:itemID="{D23B75C0-2585-477E-A616-F6942A33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876</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Martin Attwooll</cp:lastModifiedBy>
  <cp:revision>3</cp:revision>
  <cp:lastPrinted>2020-06-01T18:15:00Z</cp:lastPrinted>
  <dcterms:created xsi:type="dcterms:W3CDTF">2020-06-05T15:14:00Z</dcterms:created>
  <dcterms:modified xsi:type="dcterms:W3CDTF">2020-06-11T13:31:00Z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0x010100793EEF321AD7C249BCAED98608C819CF</vt:lpwstr>
  </property>
  <property fmtid="{D5CDD505-2E9C-101B-9397-08002B2CF9AE}" pid="15" name="_dlc_DocIdItemGuid">
    <vt:lpwstr>852bab6b-af88-45c3-b4b1-5f42d22d2303</vt:lpwstr>
  </property>
</Properties>
</file>