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83DD1" w14:textId="77777777" w:rsidR="00607BCD" w:rsidRPr="00B87E01" w:rsidRDefault="00397235" w:rsidP="00397235">
      <w:pPr>
        <w:tabs>
          <w:tab w:val="left" w:pos="709"/>
        </w:tabs>
        <w:spacing w:after="0" w:line="360" w:lineRule="auto"/>
        <w:jc w:val="center"/>
        <w:rPr>
          <w:rFonts w:ascii="Times New Roman" w:hAnsi="Times New Roman" w:cs="Times New Roman"/>
          <w:b/>
          <w:color w:val="98002E"/>
          <w:sz w:val="32"/>
          <w:szCs w:val="28"/>
        </w:rPr>
      </w:pPr>
      <w:r>
        <w:rPr>
          <w:noProof/>
          <w:lang w:eastAsia="en-GB"/>
        </w:rPr>
        <w:drawing>
          <wp:inline distT="0" distB="0" distL="0" distR="0" wp14:anchorId="681769D2" wp14:editId="65437DDF">
            <wp:extent cx="1868556" cy="958773"/>
            <wp:effectExtent l="0" t="0" r="0" b="0"/>
            <wp:docPr id="1073741825" name="officeArt object" descr="Hero 5.5cm for Title pages.jpg"/>
            <wp:cNvGraphicFramePr/>
            <a:graphic xmlns:a="http://schemas.openxmlformats.org/drawingml/2006/main">
              <a:graphicData uri="http://schemas.openxmlformats.org/drawingml/2006/picture">
                <pic:pic xmlns:pic="http://schemas.openxmlformats.org/drawingml/2006/picture">
                  <pic:nvPicPr>
                    <pic:cNvPr id="1073741825" name="image1.jpeg" descr="Hero 5.5cm for Title pages.jpg"/>
                    <pic:cNvPicPr>
                      <a:picLocks noChangeAspect="1"/>
                    </pic:cNvPicPr>
                  </pic:nvPicPr>
                  <pic:blipFill>
                    <a:blip r:embed="rId12">
                      <a:extLst/>
                    </a:blip>
                    <a:srcRect t="14177"/>
                    <a:stretch>
                      <a:fillRect/>
                    </a:stretch>
                  </pic:blipFill>
                  <pic:spPr>
                    <a:xfrm>
                      <a:off x="0" y="0"/>
                      <a:ext cx="1868556" cy="958773"/>
                    </a:xfrm>
                    <a:prstGeom prst="rect">
                      <a:avLst/>
                    </a:prstGeom>
                    <a:ln w="12700" cap="flat">
                      <a:noFill/>
                      <a:miter lim="400000"/>
                    </a:ln>
                    <a:effectLst/>
                  </pic:spPr>
                </pic:pic>
              </a:graphicData>
            </a:graphic>
          </wp:inline>
        </w:drawing>
      </w:r>
    </w:p>
    <w:p w14:paraId="61887462" w14:textId="77777777" w:rsidR="00607BCD" w:rsidRPr="00B87E01" w:rsidRDefault="00607BCD" w:rsidP="00C337BE">
      <w:pPr>
        <w:spacing w:after="0" w:line="360" w:lineRule="auto"/>
        <w:rPr>
          <w:rFonts w:ascii="Times New Roman" w:hAnsi="Times New Roman" w:cs="Times New Roman"/>
          <w:b/>
          <w:color w:val="98002E"/>
          <w:sz w:val="32"/>
          <w:szCs w:val="28"/>
        </w:rPr>
      </w:pPr>
    </w:p>
    <w:p w14:paraId="4AE5BE60" w14:textId="77777777" w:rsidR="00607BCD" w:rsidRPr="00B87E01" w:rsidRDefault="00607BCD" w:rsidP="00C337BE">
      <w:pPr>
        <w:spacing w:after="0" w:line="360" w:lineRule="auto"/>
        <w:rPr>
          <w:rFonts w:ascii="Times New Roman" w:hAnsi="Times New Roman" w:cs="Times New Roman"/>
          <w:b/>
          <w:color w:val="98002E"/>
          <w:sz w:val="32"/>
          <w:szCs w:val="28"/>
        </w:rPr>
      </w:pPr>
    </w:p>
    <w:p w14:paraId="6AC53C7E" w14:textId="77777777" w:rsidR="00FE5470" w:rsidRDefault="00FE5470" w:rsidP="00C337BE">
      <w:pPr>
        <w:spacing w:after="0" w:line="360" w:lineRule="auto"/>
        <w:jc w:val="right"/>
        <w:rPr>
          <w:rFonts w:ascii="Times New Roman" w:hAnsi="Times New Roman" w:cs="Times New Roman"/>
          <w:b/>
          <w:color w:val="98002E"/>
          <w:sz w:val="32"/>
          <w:szCs w:val="28"/>
        </w:rPr>
      </w:pPr>
    </w:p>
    <w:p w14:paraId="2BAEA2E3" w14:textId="77777777" w:rsidR="009B3941" w:rsidRPr="00B87E01" w:rsidRDefault="009B3941" w:rsidP="00C337BE">
      <w:pPr>
        <w:spacing w:after="0" w:line="360" w:lineRule="auto"/>
        <w:jc w:val="right"/>
        <w:rPr>
          <w:rFonts w:ascii="Times New Roman" w:hAnsi="Times New Roman" w:cs="Times New Roman"/>
          <w:b/>
          <w:color w:val="98002E"/>
          <w:sz w:val="32"/>
          <w:szCs w:val="28"/>
        </w:rPr>
      </w:pPr>
    </w:p>
    <w:p w14:paraId="65ABB4B5" w14:textId="77777777" w:rsidR="00FE5470" w:rsidRPr="00402EC0" w:rsidRDefault="00E07F08" w:rsidP="001451C5">
      <w:pPr>
        <w:spacing w:after="0" w:line="360" w:lineRule="auto"/>
        <w:jc w:val="center"/>
        <w:rPr>
          <w:rFonts w:ascii="Times New Roman" w:hAnsi="Times New Roman" w:cs="Times New Roman"/>
          <w:b/>
          <w:color w:val="98002E"/>
          <w:sz w:val="48"/>
          <w:szCs w:val="48"/>
        </w:rPr>
      </w:pPr>
      <w:r>
        <w:rPr>
          <w:rFonts w:ascii="Times New Roman" w:hAnsi="Times New Roman" w:cs="Times New Roman"/>
          <w:b/>
          <w:color w:val="98002E"/>
          <w:sz w:val="48"/>
          <w:szCs w:val="48"/>
        </w:rPr>
        <w:t>N</w:t>
      </w:r>
      <w:r w:rsidR="0007368A" w:rsidRPr="00402EC0">
        <w:rPr>
          <w:rFonts w:ascii="Times New Roman" w:hAnsi="Times New Roman" w:cs="Times New Roman"/>
          <w:b/>
          <w:color w:val="98002E"/>
          <w:sz w:val="48"/>
          <w:szCs w:val="48"/>
        </w:rPr>
        <w:t xml:space="preserve">ew </w:t>
      </w:r>
      <w:r w:rsidR="00DE33DA" w:rsidRPr="00402EC0">
        <w:rPr>
          <w:rFonts w:ascii="Times New Roman" w:hAnsi="Times New Roman" w:cs="Times New Roman"/>
          <w:b/>
          <w:color w:val="98002E"/>
          <w:sz w:val="48"/>
          <w:szCs w:val="48"/>
        </w:rPr>
        <w:t xml:space="preserve">discretionary financial penalties </w:t>
      </w:r>
    </w:p>
    <w:p w14:paraId="07406038" w14:textId="77777777" w:rsidR="00617144" w:rsidRPr="00402EC0" w:rsidRDefault="00617144" w:rsidP="00C337BE">
      <w:pPr>
        <w:spacing w:after="0" w:line="360" w:lineRule="auto"/>
        <w:jc w:val="right"/>
        <w:rPr>
          <w:rFonts w:ascii="Times New Roman" w:hAnsi="Times New Roman" w:cs="Times New Roman"/>
          <w:b/>
          <w:color w:val="98002E"/>
          <w:sz w:val="48"/>
          <w:szCs w:val="48"/>
        </w:rPr>
      </w:pPr>
    </w:p>
    <w:p w14:paraId="4BB7FD5D" w14:textId="77777777" w:rsidR="00617144" w:rsidRPr="00402EC0" w:rsidRDefault="00E1650A" w:rsidP="00E1650A">
      <w:pPr>
        <w:spacing w:after="0" w:line="360" w:lineRule="auto"/>
        <w:jc w:val="center"/>
        <w:rPr>
          <w:rFonts w:ascii="Times New Roman" w:hAnsi="Times New Roman" w:cs="Times New Roman"/>
          <w:b/>
          <w:color w:val="98002E"/>
          <w:sz w:val="48"/>
          <w:szCs w:val="48"/>
        </w:rPr>
      </w:pPr>
      <w:r w:rsidRPr="00402EC0">
        <w:rPr>
          <w:rFonts w:ascii="Times New Roman" w:hAnsi="Times New Roman" w:cs="Times New Roman"/>
          <w:b/>
          <w:color w:val="98002E"/>
          <w:sz w:val="48"/>
          <w:szCs w:val="48"/>
        </w:rPr>
        <w:t>FEEDBACK PAPER</w:t>
      </w:r>
    </w:p>
    <w:p w14:paraId="6C7FBB63" w14:textId="77777777" w:rsidR="00617144" w:rsidRDefault="00617144" w:rsidP="00DE33DA">
      <w:pPr>
        <w:spacing w:after="0" w:line="360" w:lineRule="auto"/>
        <w:rPr>
          <w:rFonts w:ascii="Times New Roman" w:hAnsi="Times New Roman" w:cs="Times New Roman"/>
          <w:b/>
          <w:color w:val="98002E"/>
          <w:sz w:val="32"/>
          <w:szCs w:val="28"/>
        </w:rPr>
      </w:pPr>
    </w:p>
    <w:p w14:paraId="7B44C6AA" w14:textId="77777777" w:rsidR="00617144" w:rsidRDefault="00617144" w:rsidP="00C337BE">
      <w:pPr>
        <w:spacing w:after="0" w:line="360" w:lineRule="auto"/>
        <w:jc w:val="right"/>
        <w:rPr>
          <w:rFonts w:ascii="Times New Roman" w:hAnsi="Times New Roman" w:cs="Times New Roman"/>
          <w:b/>
          <w:color w:val="98002E"/>
          <w:sz w:val="32"/>
          <w:szCs w:val="28"/>
        </w:rPr>
      </w:pPr>
    </w:p>
    <w:p w14:paraId="188651C9" w14:textId="77777777" w:rsidR="00617144" w:rsidRDefault="00617144" w:rsidP="00C337BE">
      <w:pPr>
        <w:spacing w:after="0" w:line="360" w:lineRule="auto"/>
        <w:jc w:val="right"/>
        <w:rPr>
          <w:rFonts w:ascii="Times New Roman" w:hAnsi="Times New Roman" w:cs="Times New Roman"/>
          <w:b/>
          <w:color w:val="98002E"/>
          <w:sz w:val="32"/>
          <w:szCs w:val="28"/>
        </w:rPr>
      </w:pPr>
    </w:p>
    <w:p w14:paraId="73FC4064" w14:textId="77777777" w:rsidR="00617144" w:rsidRDefault="00617144" w:rsidP="00C337BE">
      <w:pPr>
        <w:spacing w:after="0" w:line="360" w:lineRule="auto"/>
        <w:jc w:val="right"/>
        <w:rPr>
          <w:rFonts w:ascii="Times New Roman" w:hAnsi="Times New Roman" w:cs="Times New Roman"/>
          <w:b/>
          <w:color w:val="98002E"/>
          <w:sz w:val="32"/>
          <w:szCs w:val="28"/>
        </w:rPr>
      </w:pPr>
    </w:p>
    <w:p w14:paraId="2F3F3B42" w14:textId="77777777" w:rsidR="00617144" w:rsidRDefault="00617144" w:rsidP="00C337BE">
      <w:pPr>
        <w:spacing w:after="0" w:line="360" w:lineRule="auto"/>
        <w:jc w:val="right"/>
        <w:rPr>
          <w:rFonts w:ascii="Times New Roman" w:hAnsi="Times New Roman" w:cs="Times New Roman"/>
          <w:b/>
          <w:color w:val="98002E"/>
          <w:sz w:val="32"/>
          <w:szCs w:val="28"/>
        </w:rPr>
      </w:pPr>
    </w:p>
    <w:p w14:paraId="27D1216E" w14:textId="77777777" w:rsidR="00617144" w:rsidRDefault="00617144" w:rsidP="00C337BE">
      <w:pPr>
        <w:spacing w:after="0" w:line="360" w:lineRule="auto"/>
        <w:jc w:val="right"/>
        <w:rPr>
          <w:rFonts w:ascii="Times New Roman" w:hAnsi="Times New Roman" w:cs="Times New Roman"/>
          <w:b/>
          <w:color w:val="98002E"/>
          <w:sz w:val="32"/>
          <w:szCs w:val="28"/>
        </w:rPr>
      </w:pPr>
    </w:p>
    <w:p w14:paraId="1CFC3342" w14:textId="77777777" w:rsidR="00617144" w:rsidRDefault="00617144" w:rsidP="00C337BE">
      <w:pPr>
        <w:spacing w:after="0" w:line="360" w:lineRule="auto"/>
        <w:jc w:val="right"/>
        <w:rPr>
          <w:rFonts w:ascii="Times New Roman" w:hAnsi="Times New Roman" w:cs="Times New Roman"/>
          <w:b/>
          <w:color w:val="98002E"/>
          <w:sz w:val="32"/>
          <w:szCs w:val="28"/>
        </w:rPr>
      </w:pPr>
    </w:p>
    <w:p w14:paraId="12472A98" w14:textId="60C5481C" w:rsidR="00607BCD" w:rsidRPr="00B87E01" w:rsidRDefault="0021293B" w:rsidP="00C337BE">
      <w:pPr>
        <w:spacing w:after="0" w:line="360" w:lineRule="auto"/>
        <w:jc w:val="right"/>
        <w:rPr>
          <w:rFonts w:ascii="Times New Roman" w:hAnsi="Times New Roman" w:cs="Times New Roman"/>
          <w:b/>
          <w:color w:val="98002E"/>
          <w:sz w:val="32"/>
          <w:szCs w:val="28"/>
        </w:rPr>
      </w:pPr>
      <w:r>
        <w:rPr>
          <w:rFonts w:ascii="Times New Roman" w:hAnsi="Times New Roman" w:cs="Times New Roman"/>
          <w:b/>
          <w:color w:val="98002E"/>
          <w:sz w:val="32"/>
          <w:szCs w:val="28"/>
        </w:rPr>
        <w:t>November 2017</w:t>
      </w:r>
      <w:r w:rsidR="00607BCD" w:rsidRPr="00B87E01">
        <w:rPr>
          <w:rFonts w:ascii="Times New Roman" w:hAnsi="Times New Roman" w:cs="Times New Roman"/>
          <w:b/>
          <w:color w:val="98002E"/>
          <w:sz w:val="32"/>
          <w:szCs w:val="28"/>
        </w:rPr>
        <w:br w:type="page"/>
      </w:r>
    </w:p>
    <w:p w14:paraId="4F39C4DC" w14:textId="77777777" w:rsidR="00633E17" w:rsidRPr="00C10BBE" w:rsidRDefault="00E1650A" w:rsidP="00C337BE">
      <w:pPr>
        <w:spacing w:after="0" w:line="360" w:lineRule="auto"/>
        <w:jc w:val="both"/>
        <w:rPr>
          <w:rFonts w:ascii="Times New Roman" w:hAnsi="Times New Roman" w:cs="Times New Roman"/>
          <w:b/>
          <w:color w:val="98002E"/>
          <w:sz w:val="24"/>
          <w:szCs w:val="24"/>
        </w:rPr>
      </w:pPr>
      <w:bookmarkStart w:id="0" w:name="_Toc363741622"/>
      <w:r>
        <w:rPr>
          <w:rFonts w:ascii="Times New Roman" w:hAnsi="Times New Roman" w:cs="Times New Roman"/>
          <w:b/>
          <w:color w:val="98002E"/>
          <w:sz w:val="24"/>
          <w:szCs w:val="24"/>
        </w:rPr>
        <w:lastRenderedPageBreak/>
        <w:t>Background</w:t>
      </w:r>
    </w:p>
    <w:p w14:paraId="76421C3D" w14:textId="77777777" w:rsidR="001451C5" w:rsidRPr="00C10BBE" w:rsidRDefault="001451C5" w:rsidP="004B36E7">
      <w:pPr>
        <w:spacing w:after="0" w:line="240" w:lineRule="auto"/>
        <w:jc w:val="both"/>
        <w:rPr>
          <w:rFonts w:ascii="Times New Roman" w:hAnsi="Times New Roman" w:cs="Times New Roman"/>
          <w:sz w:val="24"/>
          <w:szCs w:val="24"/>
        </w:rPr>
      </w:pPr>
      <w:r w:rsidRPr="00C10BBE">
        <w:rPr>
          <w:rFonts w:ascii="Times New Roman" w:eastAsia="Times New Roman" w:hAnsi="Times New Roman" w:cs="Times New Roman"/>
          <w:sz w:val="24"/>
          <w:szCs w:val="24"/>
        </w:rPr>
        <w:t>On the 26</w:t>
      </w:r>
      <w:r w:rsidRPr="00C10BBE">
        <w:rPr>
          <w:rFonts w:ascii="Times New Roman" w:eastAsia="Times New Roman" w:hAnsi="Times New Roman" w:cs="Times New Roman"/>
          <w:sz w:val="24"/>
          <w:szCs w:val="24"/>
          <w:vertAlign w:val="superscript"/>
        </w:rPr>
        <w:t>th</w:t>
      </w:r>
      <w:r w:rsidRPr="00C10BBE">
        <w:rPr>
          <w:rFonts w:ascii="Times New Roman" w:eastAsia="Times New Roman" w:hAnsi="Times New Roman" w:cs="Times New Roman"/>
          <w:sz w:val="24"/>
          <w:szCs w:val="24"/>
        </w:rPr>
        <w:t xml:space="preserve"> January 2016, the States of Deliberation approved proposals </w:t>
      </w:r>
      <w:r w:rsidRPr="00C10BBE">
        <w:rPr>
          <w:rFonts w:ascii="Times New Roman" w:hAnsi="Times New Roman" w:cs="Times New Roman"/>
          <w:sz w:val="24"/>
          <w:szCs w:val="24"/>
        </w:rPr>
        <w:t>to revise “The Financial Services Commission</w:t>
      </w:r>
      <w:r w:rsidRPr="00C10BBE">
        <w:rPr>
          <w:rFonts w:ascii="Times New Roman" w:eastAsia="Times New Roman" w:hAnsi="Times New Roman" w:cs="Times New Roman"/>
          <w:sz w:val="24"/>
          <w:szCs w:val="24"/>
        </w:rPr>
        <w:t xml:space="preserve"> </w:t>
      </w:r>
      <w:r w:rsidRPr="00C10BBE">
        <w:rPr>
          <w:rFonts w:ascii="Times New Roman" w:hAnsi="Times New Roman" w:cs="Times New Roman"/>
          <w:sz w:val="24"/>
          <w:szCs w:val="24"/>
        </w:rPr>
        <w:t>(Bailiwick of Guernsey) Law, 1987” as follows: -</w:t>
      </w:r>
    </w:p>
    <w:p w14:paraId="614234B6" w14:textId="77777777" w:rsidR="001451C5" w:rsidRPr="00C10BBE" w:rsidRDefault="001451C5" w:rsidP="004B36E7">
      <w:pPr>
        <w:spacing w:after="0" w:line="240" w:lineRule="auto"/>
        <w:jc w:val="both"/>
        <w:rPr>
          <w:rFonts w:ascii="Times New Roman" w:eastAsia="Times New Roman" w:hAnsi="Times New Roman" w:cs="Times New Roman"/>
          <w:sz w:val="24"/>
          <w:szCs w:val="24"/>
        </w:rPr>
      </w:pPr>
    </w:p>
    <w:p w14:paraId="43ED2154" w14:textId="77777777" w:rsidR="001451C5" w:rsidRPr="00C10BBE" w:rsidRDefault="001451C5" w:rsidP="004B36E7">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C10BBE">
        <w:rPr>
          <w:rFonts w:ascii="Times New Roman" w:hAnsi="Times New Roman" w:cs="Times New Roman"/>
          <w:sz w:val="24"/>
          <w:szCs w:val="24"/>
        </w:rPr>
        <w:t>to increase the maximum level of fin</w:t>
      </w:r>
      <w:r w:rsidR="00E73380" w:rsidRPr="00C10BBE">
        <w:rPr>
          <w:rFonts w:ascii="Times New Roman" w:hAnsi="Times New Roman" w:cs="Times New Roman"/>
          <w:sz w:val="24"/>
          <w:szCs w:val="24"/>
        </w:rPr>
        <w:t>ancial penalti</w:t>
      </w:r>
      <w:r w:rsidRPr="00C10BBE">
        <w:rPr>
          <w:rFonts w:ascii="Times New Roman" w:hAnsi="Times New Roman" w:cs="Times New Roman"/>
          <w:sz w:val="24"/>
          <w:szCs w:val="24"/>
        </w:rPr>
        <w:t>es avai</w:t>
      </w:r>
      <w:r w:rsidR="00942D59" w:rsidRPr="00C10BBE">
        <w:rPr>
          <w:rFonts w:ascii="Times New Roman" w:hAnsi="Times New Roman" w:cs="Times New Roman"/>
          <w:sz w:val="24"/>
          <w:szCs w:val="24"/>
        </w:rPr>
        <w:t xml:space="preserve">lable to the Guernsey Financial </w:t>
      </w:r>
      <w:r w:rsidRPr="00C10BBE">
        <w:rPr>
          <w:rFonts w:ascii="Times New Roman" w:hAnsi="Times New Roman" w:cs="Times New Roman"/>
          <w:sz w:val="24"/>
          <w:szCs w:val="24"/>
        </w:rPr>
        <w:t>Services Commission for licensees and former</w:t>
      </w:r>
      <w:r w:rsidR="00942D59" w:rsidRPr="00C10BBE">
        <w:rPr>
          <w:rFonts w:ascii="Times New Roman" w:hAnsi="Times New Roman" w:cs="Times New Roman"/>
          <w:sz w:val="24"/>
          <w:szCs w:val="24"/>
        </w:rPr>
        <w:t xml:space="preserve"> licensees (other than personal </w:t>
      </w:r>
      <w:r w:rsidRPr="00C10BBE">
        <w:rPr>
          <w:rFonts w:ascii="Times New Roman" w:hAnsi="Times New Roman" w:cs="Times New Roman"/>
          <w:sz w:val="24"/>
          <w:szCs w:val="24"/>
        </w:rPr>
        <w:t xml:space="preserve">fiduciary licensees) from the current level </w:t>
      </w:r>
      <w:r w:rsidR="00942D59" w:rsidRPr="00C10BBE">
        <w:rPr>
          <w:rFonts w:ascii="Times New Roman" w:hAnsi="Times New Roman" w:cs="Times New Roman"/>
          <w:sz w:val="24"/>
          <w:szCs w:val="24"/>
        </w:rPr>
        <w:t xml:space="preserve">of £200,000 to £4,000,000, with </w:t>
      </w:r>
      <w:r w:rsidRPr="00C10BBE">
        <w:rPr>
          <w:rFonts w:ascii="Times New Roman" w:hAnsi="Times New Roman" w:cs="Times New Roman"/>
          <w:sz w:val="24"/>
          <w:szCs w:val="24"/>
        </w:rPr>
        <w:t>any fine over £300,000 being limited to a</w:t>
      </w:r>
      <w:r w:rsidR="00942D59" w:rsidRPr="00C10BBE">
        <w:rPr>
          <w:rFonts w:ascii="Times New Roman" w:hAnsi="Times New Roman" w:cs="Times New Roman"/>
          <w:sz w:val="24"/>
          <w:szCs w:val="24"/>
        </w:rPr>
        <w:t xml:space="preserve"> maximum of 10% of the turnover </w:t>
      </w:r>
      <w:r w:rsidRPr="00C10BBE">
        <w:rPr>
          <w:rFonts w:ascii="Times New Roman" w:hAnsi="Times New Roman" w:cs="Times New Roman"/>
          <w:sz w:val="24"/>
          <w:szCs w:val="24"/>
        </w:rPr>
        <w:t>of the licensee/former licensee in question;</w:t>
      </w:r>
    </w:p>
    <w:p w14:paraId="7B246CFA" w14:textId="77777777" w:rsidR="00942D59" w:rsidRPr="00C10BBE" w:rsidRDefault="00942D59" w:rsidP="004B36E7">
      <w:pPr>
        <w:autoSpaceDE w:val="0"/>
        <w:autoSpaceDN w:val="0"/>
        <w:adjustRightInd w:val="0"/>
        <w:spacing w:after="0" w:line="240" w:lineRule="auto"/>
        <w:jc w:val="both"/>
        <w:rPr>
          <w:rFonts w:ascii="Times New Roman" w:hAnsi="Times New Roman" w:cs="Times New Roman"/>
          <w:sz w:val="24"/>
          <w:szCs w:val="24"/>
        </w:rPr>
      </w:pPr>
    </w:p>
    <w:p w14:paraId="3F75AE61" w14:textId="77777777" w:rsidR="001451C5" w:rsidRPr="00C10BBE" w:rsidRDefault="001451C5" w:rsidP="004B36E7">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C10BBE">
        <w:rPr>
          <w:rFonts w:ascii="Times New Roman" w:hAnsi="Times New Roman" w:cs="Times New Roman"/>
          <w:sz w:val="24"/>
          <w:szCs w:val="24"/>
        </w:rPr>
        <w:t>to increase the maximum level of fin</w:t>
      </w:r>
      <w:r w:rsidR="00E73380" w:rsidRPr="00C10BBE">
        <w:rPr>
          <w:rFonts w:ascii="Times New Roman" w:hAnsi="Times New Roman" w:cs="Times New Roman"/>
          <w:sz w:val="24"/>
          <w:szCs w:val="24"/>
        </w:rPr>
        <w:t>ancial penalty</w:t>
      </w:r>
      <w:r w:rsidRPr="00C10BBE">
        <w:rPr>
          <w:rFonts w:ascii="Times New Roman" w:hAnsi="Times New Roman" w:cs="Times New Roman"/>
          <w:sz w:val="24"/>
          <w:szCs w:val="24"/>
        </w:rPr>
        <w:t xml:space="preserve"> avai</w:t>
      </w:r>
      <w:r w:rsidR="00942D59" w:rsidRPr="00C10BBE">
        <w:rPr>
          <w:rFonts w:ascii="Times New Roman" w:hAnsi="Times New Roman" w:cs="Times New Roman"/>
          <w:sz w:val="24"/>
          <w:szCs w:val="24"/>
        </w:rPr>
        <w:t xml:space="preserve">lable for relevant officers and personal </w:t>
      </w:r>
      <w:r w:rsidRPr="00C10BBE">
        <w:rPr>
          <w:rFonts w:ascii="Times New Roman" w:hAnsi="Times New Roman" w:cs="Times New Roman"/>
          <w:sz w:val="24"/>
          <w:szCs w:val="24"/>
        </w:rPr>
        <w:t>fiduciary licensees from £200,00</w:t>
      </w:r>
      <w:r w:rsidR="00942D59" w:rsidRPr="00C10BBE">
        <w:rPr>
          <w:rFonts w:ascii="Times New Roman" w:hAnsi="Times New Roman" w:cs="Times New Roman"/>
          <w:sz w:val="24"/>
          <w:szCs w:val="24"/>
        </w:rPr>
        <w:t xml:space="preserve">0 to £400,000 together with the </w:t>
      </w:r>
      <w:r w:rsidRPr="00C10BBE">
        <w:rPr>
          <w:rFonts w:ascii="Times New Roman" w:hAnsi="Times New Roman" w:cs="Times New Roman"/>
          <w:sz w:val="24"/>
          <w:szCs w:val="24"/>
        </w:rPr>
        <w:t>inclusion of an additional criterion fo</w:t>
      </w:r>
      <w:r w:rsidR="00942D59" w:rsidRPr="00C10BBE">
        <w:rPr>
          <w:rFonts w:ascii="Times New Roman" w:hAnsi="Times New Roman" w:cs="Times New Roman"/>
          <w:sz w:val="24"/>
          <w:szCs w:val="24"/>
        </w:rPr>
        <w:t xml:space="preserve">r consideration by the Guernsey </w:t>
      </w:r>
      <w:r w:rsidRPr="00C10BBE">
        <w:rPr>
          <w:rFonts w:ascii="Times New Roman" w:hAnsi="Times New Roman" w:cs="Times New Roman"/>
          <w:sz w:val="24"/>
          <w:szCs w:val="24"/>
        </w:rPr>
        <w:t>Financial Services Commission, namely emolu</w:t>
      </w:r>
      <w:r w:rsidR="00942D59" w:rsidRPr="00C10BBE">
        <w:rPr>
          <w:rFonts w:ascii="Times New Roman" w:hAnsi="Times New Roman" w:cs="Times New Roman"/>
          <w:sz w:val="24"/>
          <w:szCs w:val="24"/>
        </w:rPr>
        <w:t xml:space="preserve">ments arising in respect of the </w:t>
      </w:r>
      <w:r w:rsidRPr="00C10BBE">
        <w:rPr>
          <w:rFonts w:ascii="Times New Roman" w:hAnsi="Times New Roman" w:cs="Times New Roman"/>
          <w:sz w:val="24"/>
          <w:szCs w:val="24"/>
        </w:rPr>
        <w:t>relevant officer's or personal fiduciary licensee’s position;</w:t>
      </w:r>
    </w:p>
    <w:p w14:paraId="20AF86F2" w14:textId="77777777" w:rsidR="00942D59" w:rsidRPr="00C10BBE" w:rsidRDefault="00942D59" w:rsidP="004B36E7">
      <w:pPr>
        <w:autoSpaceDE w:val="0"/>
        <w:autoSpaceDN w:val="0"/>
        <w:adjustRightInd w:val="0"/>
        <w:spacing w:after="0" w:line="240" w:lineRule="auto"/>
        <w:jc w:val="both"/>
        <w:rPr>
          <w:rFonts w:ascii="Times New Roman" w:hAnsi="Times New Roman" w:cs="Times New Roman"/>
          <w:sz w:val="24"/>
          <w:szCs w:val="24"/>
        </w:rPr>
      </w:pPr>
    </w:p>
    <w:p w14:paraId="08D8C53D" w14:textId="77777777" w:rsidR="001451C5" w:rsidRPr="00C10BBE" w:rsidRDefault="001451C5" w:rsidP="004B36E7">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C10BBE">
        <w:rPr>
          <w:rFonts w:ascii="Times New Roman" w:hAnsi="Times New Roman" w:cs="Times New Roman"/>
          <w:sz w:val="24"/>
          <w:szCs w:val="24"/>
        </w:rPr>
        <w:t>to empower the Policy Council to make regul</w:t>
      </w:r>
      <w:r w:rsidR="00942D59" w:rsidRPr="00C10BBE">
        <w:rPr>
          <w:rFonts w:ascii="Times New Roman" w:hAnsi="Times New Roman" w:cs="Times New Roman"/>
          <w:sz w:val="24"/>
          <w:szCs w:val="24"/>
        </w:rPr>
        <w:t xml:space="preserve">ations which it considers to be </w:t>
      </w:r>
      <w:r w:rsidRPr="00C10BBE">
        <w:rPr>
          <w:rFonts w:ascii="Times New Roman" w:hAnsi="Times New Roman" w:cs="Times New Roman"/>
          <w:sz w:val="24"/>
          <w:szCs w:val="24"/>
        </w:rPr>
        <w:t>appropriate in relation to discretionary</w:t>
      </w:r>
      <w:r w:rsidR="00E73380" w:rsidRPr="00C10BBE">
        <w:rPr>
          <w:rFonts w:ascii="Times New Roman" w:hAnsi="Times New Roman" w:cs="Times New Roman"/>
          <w:sz w:val="24"/>
          <w:szCs w:val="24"/>
        </w:rPr>
        <w:t xml:space="preserve"> financial</w:t>
      </w:r>
      <w:r w:rsidRPr="00C10BBE">
        <w:rPr>
          <w:rFonts w:ascii="Times New Roman" w:hAnsi="Times New Roman" w:cs="Times New Roman"/>
          <w:sz w:val="24"/>
          <w:szCs w:val="24"/>
        </w:rPr>
        <w:t xml:space="preserve"> penalties, and by way of example,</w:t>
      </w:r>
      <w:r w:rsidR="00942D59" w:rsidRPr="00C10BBE">
        <w:rPr>
          <w:rFonts w:ascii="Times New Roman" w:hAnsi="Times New Roman" w:cs="Times New Roman"/>
          <w:sz w:val="24"/>
          <w:szCs w:val="24"/>
        </w:rPr>
        <w:t xml:space="preserve"> </w:t>
      </w:r>
      <w:r w:rsidRPr="00C10BBE">
        <w:rPr>
          <w:rFonts w:ascii="Times New Roman" w:hAnsi="Times New Roman" w:cs="Times New Roman"/>
          <w:sz w:val="24"/>
          <w:szCs w:val="24"/>
        </w:rPr>
        <w:t>these should include the meanings of “turnover” and “emoluments”</w:t>
      </w:r>
      <w:r w:rsidR="00942D59" w:rsidRPr="00C10BBE">
        <w:rPr>
          <w:rFonts w:ascii="Times New Roman" w:hAnsi="Times New Roman" w:cs="Times New Roman"/>
          <w:sz w:val="24"/>
          <w:szCs w:val="24"/>
        </w:rPr>
        <w:t xml:space="preserve">; and the </w:t>
      </w:r>
      <w:r w:rsidRPr="00C10BBE">
        <w:rPr>
          <w:rFonts w:ascii="Times New Roman" w:hAnsi="Times New Roman" w:cs="Times New Roman"/>
          <w:sz w:val="24"/>
          <w:szCs w:val="24"/>
        </w:rPr>
        <w:t xml:space="preserve">bandings of </w:t>
      </w:r>
      <w:r w:rsidR="00C10BBE">
        <w:rPr>
          <w:rFonts w:ascii="Times New Roman" w:hAnsi="Times New Roman" w:cs="Times New Roman"/>
          <w:sz w:val="24"/>
          <w:szCs w:val="24"/>
        </w:rPr>
        <w:t>financial penalties</w:t>
      </w:r>
      <w:r w:rsidRPr="00C10BBE">
        <w:rPr>
          <w:rFonts w:ascii="Times New Roman" w:hAnsi="Times New Roman" w:cs="Times New Roman"/>
          <w:sz w:val="24"/>
          <w:szCs w:val="24"/>
        </w:rPr>
        <w:t xml:space="preserve"> within the new maximum</w:t>
      </w:r>
      <w:r w:rsidR="00942D59" w:rsidRPr="00C10BBE">
        <w:rPr>
          <w:rFonts w:ascii="Times New Roman" w:hAnsi="Times New Roman" w:cs="Times New Roman"/>
          <w:sz w:val="24"/>
          <w:szCs w:val="24"/>
        </w:rPr>
        <w:t xml:space="preserve"> levels taking into account the </w:t>
      </w:r>
      <w:r w:rsidRPr="00C10BBE">
        <w:rPr>
          <w:rFonts w:ascii="Times New Roman" w:hAnsi="Times New Roman" w:cs="Times New Roman"/>
          <w:sz w:val="24"/>
          <w:szCs w:val="24"/>
        </w:rPr>
        <w:t xml:space="preserve">factors specified in section </w:t>
      </w:r>
      <w:r w:rsidR="00942D59" w:rsidRPr="00C10BBE">
        <w:rPr>
          <w:rFonts w:ascii="Times New Roman" w:hAnsi="Times New Roman" w:cs="Times New Roman"/>
          <w:sz w:val="24"/>
          <w:szCs w:val="24"/>
        </w:rPr>
        <w:t>11D(2) of the Law</w:t>
      </w:r>
      <w:r w:rsidRPr="00C10BBE">
        <w:rPr>
          <w:rFonts w:ascii="Times New Roman" w:hAnsi="Times New Roman" w:cs="Times New Roman"/>
          <w:sz w:val="24"/>
          <w:szCs w:val="24"/>
        </w:rPr>
        <w:t>;</w:t>
      </w:r>
    </w:p>
    <w:p w14:paraId="7F136808" w14:textId="77777777" w:rsidR="00942D59" w:rsidRPr="00C10BBE" w:rsidRDefault="00942D59" w:rsidP="004B36E7">
      <w:pPr>
        <w:autoSpaceDE w:val="0"/>
        <w:autoSpaceDN w:val="0"/>
        <w:adjustRightInd w:val="0"/>
        <w:spacing w:after="0" w:line="240" w:lineRule="auto"/>
        <w:jc w:val="both"/>
        <w:rPr>
          <w:rFonts w:ascii="Times New Roman" w:hAnsi="Times New Roman" w:cs="Times New Roman"/>
          <w:sz w:val="24"/>
          <w:szCs w:val="24"/>
        </w:rPr>
      </w:pPr>
    </w:p>
    <w:p w14:paraId="268B07EC" w14:textId="77777777" w:rsidR="001451C5" w:rsidRPr="00C10BBE" w:rsidRDefault="001451C5" w:rsidP="004B36E7">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C10BBE">
        <w:rPr>
          <w:rFonts w:ascii="Times New Roman" w:hAnsi="Times New Roman" w:cs="Times New Roman"/>
          <w:sz w:val="24"/>
          <w:szCs w:val="24"/>
        </w:rPr>
        <w:t>to require the Guernsey Financial Services Commission to is</w:t>
      </w:r>
      <w:r w:rsidR="00942D59" w:rsidRPr="00C10BBE">
        <w:rPr>
          <w:rFonts w:ascii="Times New Roman" w:hAnsi="Times New Roman" w:cs="Times New Roman"/>
          <w:sz w:val="24"/>
          <w:szCs w:val="24"/>
        </w:rPr>
        <w:t xml:space="preserve">sue and publish </w:t>
      </w:r>
      <w:r w:rsidRPr="00C10BBE">
        <w:rPr>
          <w:rFonts w:ascii="Times New Roman" w:hAnsi="Times New Roman" w:cs="Times New Roman"/>
          <w:sz w:val="24"/>
          <w:szCs w:val="24"/>
        </w:rPr>
        <w:t>guidance as to its general approach to enforcement; and</w:t>
      </w:r>
    </w:p>
    <w:p w14:paraId="3EBBBCE1" w14:textId="77777777" w:rsidR="00942D59" w:rsidRPr="00C10BBE" w:rsidRDefault="00942D59" w:rsidP="004B36E7">
      <w:pPr>
        <w:autoSpaceDE w:val="0"/>
        <w:autoSpaceDN w:val="0"/>
        <w:adjustRightInd w:val="0"/>
        <w:spacing w:after="0" w:line="240" w:lineRule="auto"/>
        <w:jc w:val="both"/>
        <w:rPr>
          <w:rFonts w:ascii="Times New Roman" w:hAnsi="Times New Roman" w:cs="Times New Roman"/>
          <w:sz w:val="24"/>
          <w:szCs w:val="24"/>
        </w:rPr>
      </w:pPr>
    </w:p>
    <w:p w14:paraId="4349DCE7" w14:textId="77777777" w:rsidR="00B87E01" w:rsidRPr="00C10BBE" w:rsidRDefault="001451C5" w:rsidP="004B36E7">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proofErr w:type="gramStart"/>
      <w:r w:rsidRPr="00C10BBE">
        <w:rPr>
          <w:rFonts w:ascii="Times New Roman" w:hAnsi="Times New Roman" w:cs="Times New Roman"/>
          <w:sz w:val="24"/>
          <w:szCs w:val="24"/>
        </w:rPr>
        <w:t>to</w:t>
      </w:r>
      <w:proofErr w:type="gramEnd"/>
      <w:r w:rsidRPr="00C10BBE">
        <w:rPr>
          <w:rFonts w:ascii="Times New Roman" w:hAnsi="Times New Roman" w:cs="Times New Roman"/>
          <w:sz w:val="24"/>
          <w:szCs w:val="24"/>
        </w:rPr>
        <w:t xml:space="preserve"> include an enabling provision permitting the </w:t>
      </w:r>
      <w:r w:rsidR="00942D59" w:rsidRPr="00C10BBE">
        <w:rPr>
          <w:rFonts w:ascii="Times New Roman" w:hAnsi="Times New Roman" w:cs="Times New Roman"/>
          <w:sz w:val="24"/>
          <w:szCs w:val="24"/>
        </w:rPr>
        <w:t xml:space="preserve">States to revise the provisions </w:t>
      </w:r>
      <w:r w:rsidRPr="00C10BBE">
        <w:rPr>
          <w:rFonts w:ascii="Times New Roman" w:hAnsi="Times New Roman" w:cs="Times New Roman"/>
          <w:sz w:val="24"/>
          <w:szCs w:val="24"/>
        </w:rPr>
        <w:t>on fin</w:t>
      </w:r>
      <w:r w:rsidR="00E73380" w:rsidRPr="00C10BBE">
        <w:rPr>
          <w:rFonts w:ascii="Times New Roman" w:hAnsi="Times New Roman" w:cs="Times New Roman"/>
          <w:sz w:val="24"/>
          <w:szCs w:val="24"/>
        </w:rPr>
        <w:t xml:space="preserve">ancial </w:t>
      </w:r>
      <w:r w:rsidR="00D622C5" w:rsidRPr="00C10BBE">
        <w:rPr>
          <w:rFonts w:ascii="Times New Roman" w:hAnsi="Times New Roman" w:cs="Times New Roman"/>
          <w:sz w:val="24"/>
          <w:szCs w:val="24"/>
        </w:rPr>
        <w:t>penalties powers</w:t>
      </w:r>
      <w:r w:rsidRPr="00C10BBE">
        <w:rPr>
          <w:rFonts w:ascii="Times New Roman" w:hAnsi="Times New Roman" w:cs="Times New Roman"/>
          <w:sz w:val="24"/>
          <w:szCs w:val="24"/>
        </w:rPr>
        <w:t xml:space="preserve"> in the Financial Services Commission (Bailiwick of</w:t>
      </w:r>
      <w:r w:rsidR="00942D59" w:rsidRPr="00C10BBE">
        <w:rPr>
          <w:rFonts w:ascii="Times New Roman" w:hAnsi="Times New Roman" w:cs="Times New Roman"/>
          <w:sz w:val="24"/>
          <w:szCs w:val="24"/>
        </w:rPr>
        <w:t xml:space="preserve"> Guernsey) Law, 1987, by Ordinance.</w:t>
      </w:r>
    </w:p>
    <w:p w14:paraId="03AC699B" w14:textId="77777777" w:rsidR="00942D59" w:rsidRDefault="00942D59" w:rsidP="004B36E7">
      <w:pPr>
        <w:autoSpaceDE w:val="0"/>
        <w:autoSpaceDN w:val="0"/>
        <w:adjustRightInd w:val="0"/>
        <w:spacing w:after="0" w:line="240" w:lineRule="auto"/>
        <w:jc w:val="both"/>
        <w:rPr>
          <w:rFonts w:ascii="Times New Roman" w:hAnsi="Times New Roman" w:cs="Times New Roman"/>
          <w:sz w:val="24"/>
          <w:szCs w:val="24"/>
        </w:rPr>
      </w:pPr>
    </w:p>
    <w:p w14:paraId="6CDA426D" w14:textId="27023A4D" w:rsidR="0021293B" w:rsidRPr="0021293B" w:rsidRDefault="00F74F98" w:rsidP="004B36E7">
      <w:pPr>
        <w:autoSpaceDE w:val="0"/>
        <w:autoSpaceDN w:val="0"/>
        <w:adjustRightInd w:val="0"/>
        <w:spacing w:after="0" w:line="240" w:lineRule="auto"/>
        <w:jc w:val="both"/>
        <w:rPr>
          <w:rFonts w:ascii="Times New Roman" w:hAnsi="Times New Roman" w:cs="Times New Roman"/>
          <w:sz w:val="24"/>
          <w:szCs w:val="24"/>
        </w:rPr>
      </w:pPr>
      <w:r w:rsidRPr="0021293B">
        <w:rPr>
          <w:rFonts w:ascii="Times New Roman" w:hAnsi="Times New Roman" w:cs="Times New Roman"/>
          <w:sz w:val="24"/>
          <w:szCs w:val="24"/>
        </w:rPr>
        <w:t xml:space="preserve">The legislation </w:t>
      </w:r>
      <w:r w:rsidR="00346B28" w:rsidRPr="0021293B">
        <w:rPr>
          <w:rFonts w:ascii="Times New Roman" w:hAnsi="Times New Roman" w:cs="Times New Roman"/>
          <w:sz w:val="24"/>
          <w:szCs w:val="24"/>
        </w:rPr>
        <w:t>(</w:t>
      </w:r>
      <w:r w:rsidR="00346B28" w:rsidRPr="0021293B">
        <w:rPr>
          <w:rFonts w:ascii="Times New Roman" w:hAnsi="Times New Roman" w:cs="Times New Roman"/>
          <w:color w:val="010202"/>
          <w:sz w:val="24"/>
          <w:szCs w:val="24"/>
        </w:rPr>
        <w:t>Projet de Loi)</w:t>
      </w:r>
      <w:r w:rsidR="00346B28" w:rsidRPr="0021293B">
        <w:rPr>
          <w:rFonts w:ascii="Times New Roman" w:hAnsi="Times New Roman" w:cs="Times New Roman"/>
          <w:sz w:val="24"/>
          <w:szCs w:val="24"/>
        </w:rPr>
        <w:t xml:space="preserve"> </w:t>
      </w:r>
      <w:r w:rsidRPr="0021293B">
        <w:rPr>
          <w:rFonts w:ascii="Times New Roman" w:hAnsi="Times New Roman" w:cs="Times New Roman"/>
          <w:sz w:val="24"/>
          <w:szCs w:val="24"/>
        </w:rPr>
        <w:t xml:space="preserve">to give effect to </w:t>
      </w:r>
      <w:r w:rsidR="00346B28" w:rsidRPr="0021293B">
        <w:rPr>
          <w:rFonts w:ascii="Times New Roman" w:hAnsi="Times New Roman" w:cs="Times New Roman"/>
          <w:sz w:val="24"/>
          <w:szCs w:val="24"/>
        </w:rPr>
        <w:t>the above proposals was approved by the States of Deliberation at their meeting on 2</w:t>
      </w:r>
      <w:r w:rsidR="00346B28" w:rsidRPr="0021293B">
        <w:rPr>
          <w:rFonts w:ascii="Times New Roman" w:hAnsi="Times New Roman" w:cs="Times New Roman"/>
          <w:sz w:val="24"/>
          <w:szCs w:val="24"/>
          <w:vertAlign w:val="superscript"/>
        </w:rPr>
        <w:t>nd</w:t>
      </w:r>
      <w:r w:rsidR="00346B28" w:rsidRPr="0021293B">
        <w:rPr>
          <w:rFonts w:ascii="Times New Roman" w:hAnsi="Times New Roman" w:cs="Times New Roman"/>
          <w:sz w:val="24"/>
          <w:szCs w:val="24"/>
        </w:rPr>
        <w:t xml:space="preserve"> March 2016</w:t>
      </w:r>
      <w:r w:rsidR="004610A6" w:rsidRPr="0021293B">
        <w:rPr>
          <w:rFonts w:ascii="Times New Roman" w:hAnsi="Times New Roman" w:cs="Times New Roman"/>
          <w:sz w:val="24"/>
          <w:szCs w:val="24"/>
        </w:rPr>
        <w:t>.</w:t>
      </w:r>
      <w:r w:rsidR="00B0775C" w:rsidRPr="0021293B">
        <w:rPr>
          <w:rFonts w:ascii="Times New Roman" w:hAnsi="Times New Roman" w:cs="Times New Roman"/>
          <w:sz w:val="24"/>
          <w:szCs w:val="24"/>
        </w:rPr>
        <w:t xml:space="preserve"> </w:t>
      </w:r>
      <w:r w:rsidR="004610A6" w:rsidRPr="0021293B">
        <w:rPr>
          <w:rFonts w:ascii="Times New Roman" w:hAnsi="Times New Roman" w:cs="Times New Roman"/>
          <w:color w:val="000000"/>
          <w:sz w:val="24"/>
          <w:szCs w:val="24"/>
        </w:rPr>
        <w:t>T</w:t>
      </w:r>
      <w:r w:rsidR="004610A6" w:rsidRPr="0021293B">
        <w:rPr>
          <w:rFonts w:ascii="Times New Roman" w:hAnsi="Times New Roman" w:cs="Times New Roman"/>
          <w:sz w:val="24"/>
          <w:szCs w:val="24"/>
        </w:rPr>
        <w:t xml:space="preserve">he Financial Services Commission (Bailiwick of Guernsey) (Amendment) Law, 2016 received Royal Sanction before </w:t>
      </w:r>
      <w:r w:rsidR="0021293B" w:rsidRPr="0021293B">
        <w:rPr>
          <w:rFonts w:ascii="Times New Roman" w:hAnsi="Times New Roman" w:cs="Times New Roman"/>
          <w:sz w:val="24"/>
          <w:szCs w:val="24"/>
        </w:rPr>
        <w:t xml:space="preserve">the </w:t>
      </w:r>
      <w:r w:rsidR="004610A6" w:rsidRPr="0021293B">
        <w:rPr>
          <w:rFonts w:ascii="Times New Roman" w:hAnsi="Times New Roman" w:cs="Times New Roman"/>
          <w:sz w:val="24"/>
          <w:szCs w:val="24"/>
        </w:rPr>
        <w:t xml:space="preserve">Privy </w:t>
      </w:r>
      <w:r w:rsidR="0021293B" w:rsidRPr="0021293B">
        <w:rPr>
          <w:rFonts w:ascii="Times New Roman" w:hAnsi="Times New Roman" w:cs="Times New Roman"/>
          <w:sz w:val="24"/>
          <w:szCs w:val="24"/>
        </w:rPr>
        <w:t>C</w:t>
      </w:r>
      <w:r w:rsidR="004610A6" w:rsidRPr="0021293B">
        <w:rPr>
          <w:rFonts w:ascii="Times New Roman" w:hAnsi="Times New Roman" w:cs="Times New Roman"/>
          <w:sz w:val="24"/>
          <w:szCs w:val="24"/>
        </w:rPr>
        <w:t xml:space="preserve">ouncil on 11 October 2017 and </w:t>
      </w:r>
      <w:r w:rsidR="0021293B" w:rsidRPr="0021293B">
        <w:rPr>
          <w:rFonts w:ascii="Times New Roman" w:hAnsi="Times New Roman" w:cs="Times New Roman"/>
          <w:sz w:val="24"/>
          <w:szCs w:val="24"/>
        </w:rPr>
        <w:t xml:space="preserve">was </w:t>
      </w:r>
      <w:r w:rsidR="004610A6" w:rsidRPr="0021293B">
        <w:rPr>
          <w:rFonts w:ascii="Times New Roman" w:hAnsi="Times New Roman" w:cs="Times New Roman"/>
          <w:sz w:val="24"/>
          <w:szCs w:val="24"/>
        </w:rPr>
        <w:t xml:space="preserve">registered </w:t>
      </w:r>
      <w:r w:rsidR="0021293B" w:rsidRPr="0021293B">
        <w:rPr>
          <w:rFonts w:ascii="Times New Roman" w:hAnsi="Times New Roman" w:cs="Times New Roman"/>
          <w:color w:val="000000"/>
          <w:sz w:val="24"/>
          <w:szCs w:val="24"/>
        </w:rPr>
        <w:t>by</w:t>
      </w:r>
      <w:r w:rsidR="004610A6" w:rsidRPr="0021293B">
        <w:rPr>
          <w:rFonts w:ascii="Times New Roman" w:hAnsi="Times New Roman" w:cs="Times New Roman"/>
          <w:color w:val="000000"/>
          <w:sz w:val="24"/>
          <w:szCs w:val="24"/>
        </w:rPr>
        <w:t xml:space="preserve"> the </w:t>
      </w:r>
      <w:r w:rsidR="004610A6" w:rsidRPr="0021293B">
        <w:rPr>
          <w:rFonts w:ascii="Times New Roman" w:hAnsi="Times New Roman" w:cs="Times New Roman"/>
          <w:sz w:val="24"/>
          <w:szCs w:val="24"/>
        </w:rPr>
        <w:t>Royal Court on 13 November 2017.</w:t>
      </w:r>
    </w:p>
    <w:p w14:paraId="4F075DAA" w14:textId="77777777" w:rsidR="00513803" w:rsidRDefault="00513803" w:rsidP="004B36E7">
      <w:pPr>
        <w:autoSpaceDE w:val="0"/>
        <w:autoSpaceDN w:val="0"/>
        <w:adjustRightInd w:val="0"/>
        <w:spacing w:after="0" w:line="240" w:lineRule="auto"/>
        <w:jc w:val="both"/>
        <w:rPr>
          <w:rFonts w:ascii="Times New Roman" w:hAnsi="Times New Roman" w:cs="Times New Roman"/>
          <w:sz w:val="24"/>
          <w:szCs w:val="24"/>
        </w:rPr>
      </w:pPr>
    </w:p>
    <w:p w14:paraId="68A12E34" w14:textId="77777777" w:rsidR="00513803" w:rsidRDefault="00513803" w:rsidP="00513803">
      <w:pPr>
        <w:autoSpaceDE w:val="0"/>
        <w:autoSpaceDN w:val="0"/>
        <w:adjustRightInd w:val="0"/>
        <w:spacing w:after="0" w:line="240" w:lineRule="auto"/>
        <w:jc w:val="both"/>
        <w:rPr>
          <w:rFonts w:ascii="Times New Roman" w:hAnsi="Times New Roman" w:cs="Times New Roman"/>
          <w:b/>
          <w:color w:val="98002E"/>
          <w:sz w:val="24"/>
          <w:szCs w:val="24"/>
        </w:rPr>
      </w:pPr>
      <w:r>
        <w:rPr>
          <w:rFonts w:ascii="Times New Roman" w:hAnsi="Times New Roman" w:cs="Times New Roman"/>
          <w:b/>
          <w:color w:val="98002E"/>
          <w:sz w:val="24"/>
          <w:szCs w:val="24"/>
        </w:rPr>
        <w:t xml:space="preserve">Consultation process </w:t>
      </w:r>
    </w:p>
    <w:p w14:paraId="0A766CDE" w14:textId="77777777" w:rsidR="00346B28" w:rsidRPr="00346B28" w:rsidRDefault="00346B28" w:rsidP="004B36E7">
      <w:pPr>
        <w:autoSpaceDE w:val="0"/>
        <w:autoSpaceDN w:val="0"/>
        <w:adjustRightInd w:val="0"/>
        <w:spacing w:after="0" w:line="240" w:lineRule="auto"/>
        <w:jc w:val="both"/>
        <w:rPr>
          <w:rFonts w:ascii="Times New Roman" w:hAnsi="Times New Roman" w:cs="Times New Roman"/>
          <w:sz w:val="24"/>
          <w:szCs w:val="24"/>
        </w:rPr>
      </w:pPr>
    </w:p>
    <w:p w14:paraId="7C3B2A4E" w14:textId="4D4990D0" w:rsidR="00324B27" w:rsidRPr="000207B3" w:rsidRDefault="00513803" w:rsidP="00324B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Following the States decision</w:t>
      </w:r>
      <w:r w:rsidR="00324B27">
        <w:rPr>
          <w:rFonts w:ascii="Times New Roman" w:hAnsi="Times New Roman" w:cs="Times New Roman"/>
          <w:sz w:val="24"/>
          <w:szCs w:val="24"/>
        </w:rPr>
        <w:t>s set out above and in light of the requirement placed upon the Commission</w:t>
      </w:r>
      <w:r w:rsidR="00324B27" w:rsidRPr="00324B27">
        <w:rPr>
          <w:rFonts w:ascii="Times New Roman" w:hAnsi="Times New Roman" w:cs="Times New Roman"/>
          <w:sz w:val="24"/>
          <w:szCs w:val="24"/>
        </w:rPr>
        <w:t xml:space="preserve"> </w:t>
      </w:r>
      <w:r w:rsidR="00324B27" w:rsidRPr="00C10BBE">
        <w:rPr>
          <w:rFonts w:ascii="Times New Roman" w:hAnsi="Times New Roman" w:cs="Times New Roman"/>
          <w:sz w:val="24"/>
          <w:szCs w:val="24"/>
        </w:rPr>
        <w:t>to issue and publish guidance as to its general approach to enforcement</w:t>
      </w:r>
      <w:r w:rsidR="00324B27">
        <w:rPr>
          <w:rFonts w:ascii="Times New Roman" w:hAnsi="Times New Roman" w:cs="Times New Roman"/>
          <w:sz w:val="24"/>
          <w:szCs w:val="24"/>
        </w:rPr>
        <w:t xml:space="preserve"> (see</w:t>
      </w:r>
      <w:r>
        <w:rPr>
          <w:rFonts w:ascii="Times New Roman" w:hAnsi="Times New Roman" w:cs="Times New Roman"/>
          <w:sz w:val="24"/>
          <w:szCs w:val="24"/>
        </w:rPr>
        <w:t xml:space="preserve"> 4 above</w:t>
      </w:r>
      <w:r w:rsidR="00324B27">
        <w:rPr>
          <w:rFonts w:ascii="Times New Roman" w:hAnsi="Times New Roman" w:cs="Times New Roman"/>
          <w:sz w:val="24"/>
          <w:szCs w:val="24"/>
        </w:rPr>
        <w:t>)</w:t>
      </w:r>
      <w:r>
        <w:rPr>
          <w:rFonts w:ascii="Times New Roman" w:hAnsi="Times New Roman" w:cs="Times New Roman"/>
          <w:sz w:val="24"/>
          <w:szCs w:val="24"/>
        </w:rPr>
        <w:t xml:space="preserve">, </w:t>
      </w:r>
      <w:r w:rsidR="0040012D">
        <w:rPr>
          <w:rFonts w:ascii="Times New Roman" w:hAnsi="Times New Roman" w:cs="Times New Roman"/>
          <w:sz w:val="24"/>
          <w:szCs w:val="24"/>
        </w:rPr>
        <w:t xml:space="preserve">the Commission published a </w:t>
      </w:r>
      <w:r w:rsidR="00324B27">
        <w:rPr>
          <w:rFonts w:ascii="Times New Roman" w:hAnsi="Times New Roman" w:cs="Times New Roman"/>
          <w:sz w:val="24"/>
          <w:szCs w:val="24"/>
        </w:rPr>
        <w:t xml:space="preserve">Guidance </w:t>
      </w:r>
      <w:r w:rsidR="00324B27" w:rsidRPr="00324B27">
        <w:rPr>
          <w:rFonts w:ascii="Times New Roman" w:hAnsi="Times New Roman" w:cs="Times New Roman"/>
          <w:sz w:val="24"/>
          <w:szCs w:val="24"/>
        </w:rPr>
        <w:t xml:space="preserve">Note </w:t>
      </w:r>
      <w:r w:rsidR="000207B3">
        <w:rPr>
          <w:rFonts w:ascii="Times New Roman" w:hAnsi="Times New Roman" w:cs="Times New Roman"/>
          <w:sz w:val="24"/>
          <w:szCs w:val="24"/>
        </w:rPr>
        <w:t>in April</w:t>
      </w:r>
      <w:r w:rsidR="00510F94">
        <w:rPr>
          <w:rFonts w:ascii="Times New Roman" w:hAnsi="Times New Roman" w:cs="Times New Roman"/>
          <w:sz w:val="24"/>
          <w:szCs w:val="24"/>
        </w:rPr>
        <w:t xml:space="preserve"> 2016</w:t>
      </w:r>
      <w:r w:rsidR="000207B3">
        <w:rPr>
          <w:rFonts w:ascii="Times New Roman" w:hAnsi="Times New Roman" w:cs="Times New Roman"/>
          <w:sz w:val="24"/>
          <w:szCs w:val="24"/>
        </w:rPr>
        <w:t xml:space="preserve">. </w:t>
      </w:r>
      <w:r w:rsidR="00324B27" w:rsidRPr="0021293B">
        <w:rPr>
          <w:rFonts w:ascii="Times New Roman" w:hAnsi="Times New Roman" w:cs="Times New Roman"/>
          <w:b/>
          <w:color w:val="98002E"/>
          <w:sz w:val="24"/>
          <w:szCs w:val="24"/>
        </w:rPr>
        <w:t>(</w:t>
      </w:r>
      <w:r w:rsidR="000207B3" w:rsidRPr="0021293B">
        <w:rPr>
          <w:rFonts w:ascii="Times New Roman" w:hAnsi="Times New Roman" w:cs="Times New Roman"/>
          <w:b/>
          <w:color w:val="98002E"/>
          <w:sz w:val="24"/>
          <w:szCs w:val="24"/>
        </w:rPr>
        <w:t>C</w:t>
      </w:r>
      <w:r w:rsidR="00324B27" w:rsidRPr="0021293B">
        <w:rPr>
          <w:rFonts w:ascii="Times New Roman" w:hAnsi="Times New Roman" w:cs="Times New Roman"/>
          <w:b/>
          <w:color w:val="98002E"/>
          <w:sz w:val="24"/>
          <w:szCs w:val="24"/>
        </w:rPr>
        <w:t>lick here to see a copy)</w:t>
      </w:r>
      <w:r w:rsidR="00324B27" w:rsidRPr="0021293B">
        <w:rPr>
          <w:rFonts w:ascii="Times New Roman" w:hAnsi="Times New Roman" w:cs="Times New Roman"/>
          <w:sz w:val="24"/>
          <w:szCs w:val="24"/>
        </w:rPr>
        <w:t>.</w:t>
      </w:r>
    </w:p>
    <w:p w14:paraId="04D2F23E" w14:textId="77777777" w:rsidR="00324B27" w:rsidRDefault="00324B27" w:rsidP="00324B27">
      <w:pPr>
        <w:autoSpaceDE w:val="0"/>
        <w:autoSpaceDN w:val="0"/>
        <w:adjustRightInd w:val="0"/>
        <w:spacing w:after="0" w:line="240" w:lineRule="auto"/>
        <w:jc w:val="both"/>
        <w:rPr>
          <w:rFonts w:ascii="Times New Roman" w:hAnsi="Times New Roman" w:cs="Times New Roman"/>
          <w:sz w:val="24"/>
          <w:szCs w:val="24"/>
        </w:rPr>
      </w:pPr>
    </w:p>
    <w:p w14:paraId="2BA3EA66" w14:textId="77777777" w:rsidR="00324B27" w:rsidRDefault="000207B3" w:rsidP="00324B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324B27">
        <w:rPr>
          <w:rFonts w:ascii="Times New Roman" w:hAnsi="Times New Roman" w:cs="Times New Roman"/>
          <w:sz w:val="24"/>
          <w:szCs w:val="24"/>
        </w:rPr>
        <w:t xml:space="preserve">n 29 April 2016, the Commission published a </w:t>
      </w:r>
      <w:r w:rsidR="0040012D">
        <w:rPr>
          <w:rFonts w:ascii="Times New Roman" w:hAnsi="Times New Roman" w:cs="Times New Roman"/>
          <w:sz w:val="24"/>
          <w:szCs w:val="24"/>
        </w:rPr>
        <w:t xml:space="preserve">Consultation Paper proposing a schedule </w:t>
      </w:r>
      <w:r w:rsidR="0040012D" w:rsidRPr="00E1650A">
        <w:rPr>
          <w:rFonts w:ascii="Times New Roman" w:hAnsi="Times New Roman" w:cs="Times New Roman"/>
          <w:sz w:val="24"/>
          <w:szCs w:val="24"/>
        </w:rPr>
        <w:t xml:space="preserve">of bandings as a guide to how it intends, in general terms, to apply the revised levels of discretionary </w:t>
      </w:r>
      <w:r>
        <w:rPr>
          <w:rFonts w:ascii="Times New Roman" w:hAnsi="Times New Roman" w:cs="Times New Roman"/>
          <w:sz w:val="24"/>
          <w:szCs w:val="24"/>
        </w:rPr>
        <w:t xml:space="preserve">financial </w:t>
      </w:r>
      <w:r w:rsidR="0040012D" w:rsidRPr="00E1650A">
        <w:rPr>
          <w:rFonts w:ascii="Times New Roman" w:hAnsi="Times New Roman" w:cs="Times New Roman"/>
          <w:sz w:val="24"/>
          <w:szCs w:val="24"/>
        </w:rPr>
        <w:t xml:space="preserve">penalties </w:t>
      </w:r>
      <w:r w:rsidR="00324B27">
        <w:rPr>
          <w:rFonts w:ascii="Times New Roman" w:hAnsi="Times New Roman" w:cs="Times New Roman"/>
          <w:sz w:val="24"/>
          <w:szCs w:val="24"/>
        </w:rPr>
        <w:t xml:space="preserve">set out in 1 and 2 above, </w:t>
      </w:r>
      <w:r w:rsidR="0040012D" w:rsidRPr="00E1650A">
        <w:rPr>
          <w:rFonts w:ascii="Times New Roman" w:hAnsi="Times New Roman" w:cs="Times New Roman"/>
          <w:sz w:val="24"/>
          <w:szCs w:val="24"/>
        </w:rPr>
        <w:t>in a proportionate manner</w:t>
      </w:r>
      <w:r>
        <w:rPr>
          <w:rFonts w:ascii="Times New Roman" w:hAnsi="Times New Roman" w:cs="Times New Roman"/>
          <w:sz w:val="24"/>
          <w:szCs w:val="24"/>
        </w:rPr>
        <w:t>.</w:t>
      </w:r>
      <w:r w:rsidR="00324B27">
        <w:rPr>
          <w:rFonts w:ascii="Times New Roman" w:hAnsi="Times New Roman" w:cs="Times New Roman"/>
          <w:sz w:val="24"/>
          <w:szCs w:val="24"/>
        </w:rPr>
        <w:t xml:space="preserve"> </w:t>
      </w:r>
      <w:r w:rsidR="00324B27" w:rsidRPr="0021293B">
        <w:rPr>
          <w:rFonts w:ascii="Times New Roman" w:hAnsi="Times New Roman" w:cs="Times New Roman"/>
          <w:b/>
          <w:color w:val="98002E"/>
          <w:sz w:val="24"/>
          <w:szCs w:val="24"/>
        </w:rPr>
        <w:t>(</w:t>
      </w:r>
      <w:r w:rsidRPr="0021293B">
        <w:rPr>
          <w:rFonts w:ascii="Times New Roman" w:hAnsi="Times New Roman" w:cs="Times New Roman"/>
          <w:b/>
          <w:color w:val="98002E"/>
          <w:sz w:val="24"/>
          <w:szCs w:val="24"/>
        </w:rPr>
        <w:t>C</w:t>
      </w:r>
      <w:r w:rsidR="00324B27" w:rsidRPr="0021293B">
        <w:rPr>
          <w:rFonts w:ascii="Times New Roman" w:hAnsi="Times New Roman" w:cs="Times New Roman"/>
          <w:b/>
          <w:color w:val="98002E"/>
          <w:sz w:val="24"/>
          <w:szCs w:val="24"/>
        </w:rPr>
        <w:t>lick here to see a copy)</w:t>
      </w:r>
      <w:r w:rsidR="00324B27" w:rsidRPr="00324B27">
        <w:rPr>
          <w:rFonts w:ascii="Times New Roman" w:hAnsi="Times New Roman" w:cs="Times New Roman"/>
          <w:sz w:val="24"/>
          <w:szCs w:val="24"/>
        </w:rPr>
        <w:t>.</w:t>
      </w:r>
      <w:r w:rsidR="00F650F7">
        <w:rPr>
          <w:rFonts w:ascii="Times New Roman" w:hAnsi="Times New Roman" w:cs="Times New Roman"/>
          <w:sz w:val="24"/>
          <w:szCs w:val="24"/>
        </w:rPr>
        <w:t xml:space="preserve"> </w:t>
      </w:r>
      <w:r w:rsidR="00324B27">
        <w:rPr>
          <w:rFonts w:ascii="Times New Roman" w:hAnsi="Times New Roman" w:cs="Times New Roman"/>
          <w:sz w:val="24"/>
          <w:szCs w:val="24"/>
        </w:rPr>
        <w:t>The consultation period closed on 17 June</w:t>
      </w:r>
      <w:r w:rsidR="004610A6">
        <w:rPr>
          <w:rFonts w:ascii="Times New Roman" w:hAnsi="Times New Roman" w:cs="Times New Roman"/>
          <w:sz w:val="24"/>
          <w:szCs w:val="24"/>
        </w:rPr>
        <w:t xml:space="preserve"> 2016</w:t>
      </w:r>
      <w:r w:rsidR="00324B27">
        <w:rPr>
          <w:rFonts w:ascii="Times New Roman" w:hAnsi="Times New Roman" w:cs="Times New Roman"/>
          <w:sz w:val="24"/>
          <w:szCs w:val="24"/>
        </w:rPr>
        <w:t>.</w:t>
      </w:r>
    </w:p>
    <w:p w14:paraId="4A641588" w14:textId="77777777" w:rsidR="00402EC0" w:rsidRDefault="00402EC0" w:rsidP="00324B27">
      <w:pPr>
        <w:autoSpaceDE w:val="0"/>
        <w:autoSpaceDN w:val="0"/>
        <w:adjustRightInd w:val="0"/>
        <w:spacing w:after="0" w:line="240" w:lineRule="auto"/>
        <w:jc w:val="both"/>
        <w:rPr>
          <w:rFonts w:ascii="Times New Roman" w:hAnsi="Times New Roman" w:cs="Times New Roman"/>
          <w:b/>
          <w:color w:val="98002E"/>
          <w:sz w:val="24"/>
          <w:szCs w:val="24"/>
        </w:rPr>
      </w:pPr>
    </w:p>
    <w:p w14:paraId="7C9AF15F" w14:textId="77777777" w:rsidR="004C02BB" w:rsidRDefault="00C05EDD" w:rsidP="00E04F3C">
      <w:pPr>
        <w:autoSpaceDE w:val="0"/>
        <w:autoSpaceDN w:val="0"/>
        <w:adjustRightInd w:val="0"/>
        <w:spacing w:after="0" w:line="240" w:lineRule="auto"/>
        <w:jc w:val="both"/>
        <w:rPr>
          <w:rFonts w:ascii="Times New Roman" w:hAnsi="Times New Roman" w:cs="Times New Roman"/>
          <w:sz w:val="24"/>
          <w:szCs w:val="24"/>
        </w:rPr>
      </w:pPr>
      <w:r w:rsidRPr="00C05EDD">
        <w:rPr>
          <w:rFonts w:ascii="Times New Roman" w:hAnsi="Times New Roman" w:cs="Times New Roman"/>
          <w:sz w:val="24"/>
          <w:szCs w:val="24"/>
        </w:rPr>
        <w:t>The Commission received 9 responses from licensees, individ</w:t>
      </w:r>
      <w:r w:rsidR="004644A6">
        <w:rPr>
          <w:rFonts w:ascii="Times New Roman" w:hAnsi="Times New Roman" w:cs="Times New Roman"/>
          <w:sz w:val="24"/>
          <w:szCs w:val="24"/>
        </w:rPr>
        <w:t xml:space="preserve">uals and industry associations and </w:t>
      </w:r>
      <w:r w:rsidR="000207B3">
        <w:rPr>
          <w:rFonts w:ascii="Times New Roman" w:hAnsi="Times New Roman" w:cs="Times New Roman"/>
          <w:sz w:val="24"/>
          <w:szCs w:val="24"/>
        </w:rPr>
        <w:t xml:space="preserve">is very grateful to </w:t>
      </w:r>
      <w:r w:rsidRPr="00C05EDD">
        <w:rPr>
          <w:rFonts w:ascii="Times New Roman" w:hAnsi="Times New Roman" w:cs="Times New Roman"/>
          <w:sz w:val="24"/>
          <w:szCs w:val="24"/>
        </w:rPr>
        <w:t xml:space="preserve">those who contributed their views. </w:t>
      </w:r>
    </w:p>
    <w:p w14:paraId="5F2ACA16" w14:textId="77777777" w:rsidR="000207B3" w:rsidRDefault="000207B3" w:rsidP="00E04F3C">
      <w:pPr>
        <w:autoSpaceDE w:val="0"/>
        <w:autoSpaceDN w:val="0"/>
        <w:adjustRightInd w:val="0"/>
        <w:spacing w:after="0" w:line="240" w:lineRule="auto"/>
        <w:jc w:val="both"/>
        <w:rPr>
          <w:rFonts w:ascii="Times New Roman" w:hAnsi="Times New Roman" w:cs="Times New Roman"/>
          <w:sz w:val="24"/>
          <w:szCs w:val="24"/>
        </w:rPr>
      </w:pPr>
    </w:p>
    <w:p w14:paraId="0797A282" w14:textId="77777777" w:rsidR="000207B3" w:rsidRDefault="000207B3" w:rsidP="000207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schedule, which was published as part of the Consultation Paper, is reproduced as an appendix to this feedback paper and has been amended to take into account comments received during the consultation process.</w:t>
      </w:r>
    </w:p>
    <w:p w14:paraId="5F421A02" w14:textId="77777777" w:rsidR="008977E9" w:rsidRDefault="008977E9" w:rsidP="000207B3">
      <w:pPr>
        <w:autoSpaceDE w:val="0"/>
        <w:autoSpaceDN w:val="0"/>
        <w:adjustRightInd w:val="0"/>
        <w:spacing w:after="0" w:line="240" w:lineRule="auto"/>
        <w:jc w:val="both"/>
        <w:rPr>
          <w:rFonts w:ascii="Times New Roman" w:hAnsi="Times New Roman" w:cs="Times New Roman"/>
          <w:b/>
          <w:color w:val="98002E"/>
          <w:sz w:val="24"/>
          <w:szCs w:val="24"/>
        </w:rPr>
      </w:pPr>
    </w:p>
    <w:p w14:paraId="05ECB531" w14:textId="77777777" w:rsidR="00324B27" w:rsidRPr="00324B27" w:rsidRDefault="00324B27" w:rsidP="00E04F3C">
      <w:pPr>
        <w:autoSpaceDE w:val="0"/>
        <w:autoSpaceDN w:val="0"/>
        <w:adjustRightInd w:val="0"/>
        <w:spacing w:after="0" w:line="240" w:lineRule="auto"/>
        <w:jc w:val="both"/>
        <w:rPr>
          <w:rFonts w:ascii="Times New Roman" w:hAnsi="Times New Roman" w:cs="Times New Roman"/>
          <w:sz w:val="24"/>
          <w:szCs w:val="24"/>
        </w:rPr>
      </w:pPr>
    </w:p>
    <w:p w14:paraId="64EFD2F1" w14:textId="77777777" w:rsidR="00E04F3C" w:rsidRPr="00C10BBE" w:rsidRDefault="00513803" w:rsidP="00E04F3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color w:val="98002E"/>
          <w:sz w:val="24"/>
          <w:szCs w:val="24"/>
        </w:rPr>
        <w:t>Commission’s conclusions</w:t>
      </w:r>
    </w:p>
    <w:p w14:paraId="5F7C65F4" w14:textId="77777777" w:rsidR="00E04F3C" w:rsidRPr="00C10BBE" w:rsidRDefault="00E04F3C" w:rsidP="00E04F3C">
      <w:pPr>
        <w:pStyle w:val="ListParagraph"/>
        <w:autoSpaceDE w:val="0"/>
        <w:autoSpaceDN w:val="0"/>
        <w:adjustRightInd w:val="0"/>
        <w:spacing w:after="0" w:line="240" w:lineRule="auto"/>
        <w:jc w:val="both"/>
        <w:rPr>
          <w:rFonts w:ascii="Times New Roman" w:hAnsi="Times New Roman" w:cs="Times New Roman"/>
          <w:sz w:val="24"/>
          <w:szCs w:val="24"/>
        </w:rPr>
      </w:pPr>
    </w:p>
    <w:p w14:paraId="42602BE4" w14:textId="3509914C" w:rsidR="00513803" w:rsidRDefault="008F78CD" w:rsidP="00E04F3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E04F3C" w:rsidRPr="00C10BBE">
        <w:rPr>
          <w:rFonts w:ascii="Times New Roman" w:eastAsia="Times New Roman" w:hAnsi="Times New Roman" w:cs="Times New Roman"/>
          <w:sz w:val="24"/>
          <w:szCs w:val="24"/>
        </w:rPr>
        <w:t xml:space="preserve">he Commission </w:t>
      </w:r>
      <w:r w:rsidR="00513803">
        <w:rPr>
          <w:rFonts w:ascii="Times New Roman" w:eastAsia="Times New Roman" w:hAnsi="Times New Roman" w:cs="Times New Roman"/>
          <w:sz w:val="24"/>
          <w:szCs w:val="24"/>
        </w:rPr>
        <w:t>will</w:t>
      </w:r>
      <w:r w:rsidR="00E04F3C" w:rsidRPr="00C10BBE">
        <w:rPr>
          <w:rFonts w:ascii="Times New Roman" w:eastAsia="Times New Roman" w:hAnsi="Times New Roman" w:cs="Times New Roman"/>
          <w:sz w:val="24"/>
          <w:szCs w:val="24"/>
        </w:rPr>
        <w:t xml:space="preserve"> publish and maintain a schedule se</w:t>
      </w:r>
      <w:r>
        <w:rPr>
          <w:rFonts w:ascii="Times New Roman" w:eastAsia="Times New Roman" w:hAnsi="Times New Roman" w:cs="Times New Roman"/>
          <w:sz w:val="24"/>
          <w:szCs w:val="24"/>
        </w:rPr>
        <w:t>tting out bandings for</w:t>
      </w:r>
      <w:r w:rsidR="00E04F3C" w:rsidRPr="00C10BBE">
        <w:rPr>
          <w:rFonts w:ascii="Times New Roman" w:eastAsia="Times New Roman" w:hAnsi="Times New Roman" w:cs="Times New Roman"/>
          <w:sz w:val="24"/>
          <w:szCs w:val="24"/>
        </w:rPr>
        <w:t xml:space="preserve"> </w:t>
      </w:r>
      <w:r w:rsidR="00513803">
        <w:rPr>
          <w:rFonts w:ascii="Times New Roman" w:eastAsia="Times New Roman" w:hAnsi="Times New Roman" w:cs="Times New Roman"/>
          <w:sz w:val="24"/>
          <w:szCs w:val="24"/>
        </w:rPr>
        <w:t xml:space="preserve">the revised discretionary </w:t>
      </w:r>
      <w:r w:rsidR="00E04F3C" w:rsidRPr="00C10BBE">
        <w:rPr>
          <w:rFonts w:ascii="Times New Roman" w:eastAsia="Times New Roman" w:hAnsi="Times New Roman" w:cs="Times New Roman"/>
          <w:sz w:val="24"/>
          <w:szCs w:val="24"/>
        </w:rPr>
        <w:t xml:space="preserve">financial penalties </w:t>
      </w:r>
      <w:r w:rsidR="008036CE">
        <w:rPr>
          <w:rFonts w:ascii="Times New Roman" w:eastAsia="Times New Roman" w:hAnsi="Times New Roman" w:cs="Times New Roman"/>
          <w:sz w:val="24"/>
          <w:szCs w:val="24"/>
        </w:rPr>
        <w:t>(as per</w:t>
      </w:r>
      <w:r w:rsidR="004C02BB">
        <w:rPr>
          <w:rFonts w:ascii="Times New Roman" w:eastAsia="Times New Roman" w:hAnsi="Times New Roman" w:cs="Times New Roman"/>
          <w:sz w:val="24"/>
          <w:szCs w:val="24"/>
        </w:rPr>
        <w:t xml:space="preserve"> attached appendix). The schedule</w:t>
      </w:r>
      <w:r w:rsidR="00513803">
        <w:rPr>
          <w:rFonts w:ascii="Times New Roman" w:eastAsia="Times New Roman" w:hAnsi="Times New Roman" w:cs="Times New Roman"/>
          <w:sz w:val="24"/>
          <w:szCs w:val="24"/>
        </w:rPr>
        <w:t xml:space="preserve"> will be published</w:t>
      </w:r>
      <w:r w:rsidR="008036CE">
        <w:rPr>
          <w:rFonts w:ascii="Times New Roman" w:eastAsia="Times New Roman" w:hAnsi="Times New Roman" w:cs="Times New Roman"/>
          <w:sz w:val="24"/>
          <w:szCs w:val="24"/>
        </w:rPr>
        <w:t xml:space="preserve"> on the Commission’s website under the section entitled “Enforcement Policy</w:t>
      </w:r>
      <w:r w:rsidR="00513803">
        <w:rPr>
          <w:rFonts w:ascii="Times New Roman" w:eastAsia="Times New Roman" w:hAnsi="Times New Roman" w:cs="Times New Roman"/>
          <w:sz w:val="24"/>
          <w:szCs w:val="24"/>
        </w:rPr>
        <w:t xml:space="preserve">”. </w:t>
      </w:r>
    </w:p>
    <w:p w14:paraId="7E809308" w14:textId="77777777" w:rsidR="00513803" w:rsidRDefault="00513803" w:rsidP="00E04F3C">
      <w:pPr>
        <w:autoSpaceDE w:val="0"/>
        <w:autoSpaceDN w:val="0"/>
        <w:adjustRightInd w:val="0"/>
        <w:spacing w:after="0" w:line="240" w:lineRule="auto"/>
        <w:jc w:val="both"/>
        <w:rPr>
          <w:rFonts w:ascii="Times New Roman" w:eastAsia="Times New Roman" w:hAnsi="Times New Roman" w:cs="Times New Roman"/>
          <w:sz w:val="24"/>
          <w:szCs w:val="24"/>
        </w:rPr>
      </w:pPr>
    </w:p>
    <w:p w14:paraId="25958581" w14:textId="77777777" w:rsidR="00284E54" w:rsidRDefault="00513803" w:rsidP="00E04F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Commission would </w:t>
      </w:r>
      <w:r w:rsidR="00C05EDD">
        <w:rPr>
          <w:rFonts w:ascii="Times New Roman" w:hAnsi="Times New Roman" w:cs="Times New Roman"/>
          <w:sz w:val="24"/>
          <w:szCs w:val="24"/>
        </w:rPr>
        <w:t>emphasise that the schedule is only intended as guidance and as such must be read in conjunction with all relevant legislation including any regulations which are in force. As such, there is no need</w:t>
      </w:r>
      <w:r w:rsidR="0080582C">
        <w:rPr>
          <w:rFonts w:ascii="Times New Roman" w:hAnsi="Times New Roman" w:cs="Times New Roman"/>
          <w:sz w:val="24"/>
          <w:szCs w:val="24"/>
        </w:rPr>
        <w:t xml:space="preserve"> </w:t>
      </w:r>
      <w:r w:rsidR="004C02BB">
        <w:rPr>
          <w:rFonts w:ascii="Times New Roman" w:hAnsi="Times New Roman" w:cs="Times New Roman"/>
          <w:sz w:val="24"/>
          <w:szCs w:val="24"/>
        </w:rPr>
        <w:t xml:space="preserve">to repeat within the schedule </w:t>
      </w:r>
      <w:r w:rsidR="0080582C">
        <w:rPr>
          <w:rFonts w:ascii="Times New Roman" w:hAnsi="Times New Roman" w:cs="Times New Roman"/>
          <w:sz w:val="24"/>
          <w:szCs w:val="24"/>
        </w:rPr>
        <w:t>the various legislative provisions</w:t>
      </w:r>
      <w:r w:rsidR="004C02BB">
        <w:rPr>
          <w:rFonts w:ascii="Times New Roman" w:hAnsi="Times New Roman" w:cs="Times New Roman"/>
          <w:sz w:val="24"/>
          <w:szCs w:val="24"/>
        </w:rPr>
        <w:t xml:space="preserve"> relating to discretionary financial penalties</w:t>
      </w:r>
      <w:r w:rsidR="00284E54">
        <w:rPr>
          <w:rFonts w:ascii="Times New Roman" w:hAnsi="Times New Roman" w:cs="Times New Roman"/>
          <w:sz w:val="24"/>
          <w:szCs w:val="24"/>
        </w:rPr>
        <w:t>, including</w:t>
      </w:r>
      <w:r w:rsidRPr="00513803">
        <w:rPr>
          <w:rFonts w:ascii="Times New Roman" w:eastAsia="Times New Roman" w:hAnsi="Times New Roman" w:cs="Times New Roman"/>
          <w:sz w:val="24"/>
          <w:szCs w:val="24"/>
        </w:rPr>
        <w:t xml:space="preserve"> </w:t>
      </w:r>
      <w:r w:rsidRPr="00C10BBE">
        <w:rPr>
          <w:rFonts w:ascii="Times New Roman" w:hAnsi="Times New Roman" w:cs="Times New Roman"/>
          <w:sz w:val="24"/>
          <w:szCs w:val="24"/>
        </w:rPr>
        <w:t>those factors specified in section 11D(2) of “The Financial Services Commission</w:t>
      </w:r>
      <w:r w:rsidRPr="00C10BBE">
        <w:rPr>
          <w:rFonts w:ascii="Times New Roman" w:eastAsia="Times New Roman" w:hAnsi="Times New Roman" w:cs="Times New Roman"/>
          <w:sz w:val="24"/>
          <w:szCs w:val="24"/>
        </w:rPr>
        <w:t xml:space="preserve"> </w:t>
      </w:r>
      <w:r w:rsidRPr="00C10BBE">
        <w:rPr>
          <w:rFonts w:ascii="Times New Roman" w:hAnsi="Times New Roman" w:cs="Times New Roman"/>
          <w:sz w:val="24"/>
          <w:szCs w:val="24"/>
        </w:rPr>
        <w:t>(Bailiwick of Guernsey) Law, 1987”</w:t>
      </w:r>
      <w:r w:rsidR="004C02BB">
        <w:rPr>
          <w:rFonts w:ascii="Times New Roman" w:hAnsi="Times New Roman" w:cs="Times New Roman"/>
          <w:sz w:val="24"/>
          <w:szCs w:val="24"/>
        </w:rPr>
        <w:t>,</w:t>
      </w:r>
      <w:r>
        <w:rPr>
          <w:rFonts w:ascii="Times New Roman" w:hAnsi="Times New Roman" w:cs="Times New Roman"/>
          <w:sz w:val="24"/>
          <w:szCs w:val="24"/>
        </w:rPr>
        <w:t xml:space="preserve"> </w:t>
      </w:r>
      <w:r w:rsidR="00F71D39">
        <w:rPr>
          <w:rFonts w:ascii="Times New Roman" w:hAnsi="Times New Roman" w:cs="Times New Roman"/>
          <w:sz w:val="24"/>
          <w:szCs w:val="24"/>
        </w:rPr>
        <w:t>which the Commission must take into consideration when considering imposing a discretionary financial penalty</w:t>
      </w:r>
      <w:r w:rsidR="004C02BB">
        <w:rPr>
          <w:rFonts w:ascii="Times New Roman" w:hAnsi="Times New Roman" w:cs="Times New Roman"/>
          <w:sz w:val="24"/>
          <w:szCs w:val="24"/>
        </w:rPr>
        <w:t>,</w:t>
      </w:r>
      <w:r w:rsidR="00F71D39">
        <w:rPr>
          <w:rFonts w:ascii="Times New Roman" w:hAnsi="Times New Roman" w:cs="Times New Roman"/>
          <w:sz w:val="24"/>
          <w:szCs w:val="24"/>
        </w:rPr>
        <w:t xml:space="preserve"> as well as the </w:t>
      </w:r>
      <w:r w:rsidR="004C02BB">
        <w:rPr>
          <w:rFonts w:ascii="Times New Roman" w:hAnsi="Times New Roman" w:cs="Times New Roman"/>
          <w:sz w:val="24"/>
          <w:szCs w:val="24"/>
        </w:rPr>
        <w:t>rights of appeal</w:t>
      </w:r>
      <w:r w:rsidR="0080582C">
        <w:rPr>
          <w:rFonts w:ascii="Times New Roman" w:hAnsi="Times New Roman" w:cs="Times New Roman"/>
          <w:sz w:val="24"/>
          <w:szCs w:val="24"/>
        </w:rPr>
        <w:t xml:space="preserve">. </w:t>
      </w:r>
    </w:p>
    <w:p w14:paraId="742F7968" w14:textId="77777777" w:rsidR="00284E54" w:rsidRDefault="00284E54" w:rsidP="00E04F3C">
      <w:pPr>
        <w:autoSpaceDE w:val="0"/>
        <w:autoSpaceDN w:val="0"/>
        <w:adjustRightInd w:val="0"/>
        <w:spacing w:after="0" w:line="240" w:lineRule="auto"/>
        <w:jc w:val="both"/>
        <w:rPr>
          <w:rFonts w:ascii="Times New Roman" w:hAnsi="Times New Roman" w:cs="Times New Roman"/>
          <w:sz w:val="24"/>
          <w:szCs w:val="24"/>
        </w:rPr>
      </w:pPr>
    </w:p>
    <w:p w14:paraId="5C5178ED" w14:textId="77777777" w:rsidR="00C05EDD" w:rsidRDefault="00F71D39" w:rsidP="00E04F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Similarly, the schedule </w:t>
      </w:r>
      <w:r w:rsidR="00284E54">
        <w:rPr>
          <w:rFonts w:ascii="Times New Roman" w:hAnsi="Times New Roman" w:cs="Times New Roman"/>
          <w:sz w:val="24"/>
          <w:szCs w:val="24"/>
        </w:rPr>
        <w:t xml:space="preserve">deals </w:t>
      </w:r>
      <w:r>
        <w:rPr>
          <w:rFonts w:ascii="Times New Roman" w:hAnsi="Times New Roman" w:cs="Times New Roman"/>
          <w:sz w:val="24"/>
          <w:szCs w:val="24"/>
        </w:rPr>
        <w:t xml:space="preserve">only </w:t>
      </w:r>
      <w:r w:rsidR="00284E54">
        <w:rPr>
          <w:rFonts w:ascii="Times New Roman" w:hAnsi="Times New Roman" w:cs="Times New Roman"/>
          <w:sz w:val="24"/>
          <w:szCs w:val="24"/>
        </w:rPr>
        <w:t>with the imposition of discretionary financial penalties and consequently there is no need to reference the fact that the Commission can also impose general or specific prohibitions and issue public statements.</w:t>
      </w:r>
      <w:r w:rsidR="008977E9">
        <w:rPr>
          <w:rFonts w:ascii="Times New Roman" w:hAnsi="Times New Roman" w:cs="Times New Roman"/>
          <w:sz w:val="24"/>
          <w:szCs w:val="24"/>
        </w:rPr>
        <w:t xml:space="preserve"> </w:t>
      </w:r>
      <w:r w:rsidR="0080582C">
        <w:rPr>
          <w:rFonts w:ascii="Times New Roman" w:hAnsi="Times New Roman" w:cs="Times New Roman"/>
          <w:sz w:val="24"/>
          <w:szCs w:val="24"/>
        </w:rPr>
        <w:t xml:space="preserve">For the avoidance of doubt, the schedule assumes that a prior decision has </w:t>
      </w:r>
      <w:r>
        <w:rPr>
          <w:rFonts w:ascii="Times New Roman" w:hAnsi="Times New Roman" w:cs="Times New Roman"/>
          <w:sz w:val="24"/>
          <w:szCs w:val="24"/>
        </w:rPr>
        <w:t xml:space="preserve">already </w:t>
      </w:r>
      <w:r w:rsidR="0080582C">
        <w:rPr>
          <w:rFonts w:ascii="Times New Roman" w:hAnsi="Times New Roman" w:cs="Times New Roman"/>
          <w:sz w:val="24"/>
          <w:szCs w:val="24"/>
        </w:rPr>
        <w:t xml:space="preserve">been taken that a </w:t>
      </w:r>
      <w:r>
        <w:rPr>
          <w:rFonts w:ascii="Times New Roman" w:hAnsi="Times New Roman" w:cs="Times New Roman"/>
          <w:sz w:val="24"/>
          <w:szCs w:val="24"/>
        </w:rPr>
        <w:t xml:space="preserve">discretionary </w:t>
      </w:r>
      <w:r w:rsidR="0080582C">
        <w:rPr>
          <w:rFonts w:ascii="Times New Roman" w:hAnsi="Times New Roman" w:cs="Times New Roman"/>
          <w:sz w:val="24"/>
          <w:szCs w:val="24"/>
        </w:rPr>
        <w:t>financial penalty should be imposed.</w:t>
      </w:r>
    </w:p>
    <w:p w14:paraId="3C98F689" w14:textId="77777777" w:rsidR="00686DF9" w:rsidRDefault="00686DF9" w:rsidP="00E04F3C">
      <w:pPr>
        <w:autoSpaceDE w:val="0"/>
        <w:autoSpaceDN w:val="0"/>
        <w:adjustRightInd w:val="0"/>
        <w:spacing w:after="0" w:line="240" w:lineRule="auto"/>
        <w:jc w:val="both"/>
        <w:rPr>
          <w:rFonts w:ascii="Times New Roman" w:hAnsi="Times New Roman" w:cs="Times New Roman"/>
          <w:sz w:val="24"/>
          <w:szCs w:val="24"/>
        </w:rPr>
      </w:pPr>
    </w:p>
    <w:p w14:paraId="5336C8D3" w14:textId="77777777" w:rsidR="00686DF9" w:rsidRDefault="00686DF9" w:rsidP="00E04F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Given the status of the schedule (guidance only), the Commission does not intend to de</w:t>
      </w:r>
      <w:r w:rsidR="008977E9">
        <w:rPr>
          <w:rFonts w:ascii="Times New Roman" w:hAnsi="Times New Roman" w:cs="Times New Roman"/>
          <w:sz w:val="24"/>
          <w:szCs w:val="24"/>
        </w:rPr>
        <w:t xml:space="preserve">fine all of the terms </w:t>
      </w:r>
      <w:r>
        <w:rPr>
          <w:rFonts w:ascii="Times New Roman" w:hAnsi="Times New Roman" w:cs="Times New Roman"/>
          <w:sz w:val="24"/>
          <w:szCs w:val="24"/>
        </w:rPr>
        <w:t>used within it. There is an overriding legal obligation placed upon the Commission to act reasonably and proportionately</w:t>
      </w:r>
      <w:r w:rsidR="00284E54">
        <w:rPr>
          <w:rFonts w:ascii="Times New Roman" w:hAnsi="Times New Roman" w:cs="Times New Roman"/>
          <w:sz w:val="24"/>
          <w:szCs w:val="24"/>
        </w:rPr>
        <w:t xml:space="preserve"> when imposing discretionary financial</w:t>
      </w:r>
      <w:r w:rsidR="003B626C">
        <w:rPr>
          <w:rFonts w:ascii="Times New Roman" w:hAnsi="Times New Roman" w:cs="Times New Roman"/>
          <w:sz w:val="24"/>
          <w:szCs w:val="24"/>
        </w:rPr>
        <w:t xml:space="preserve"> penalties</w:t>
      </w:r>
      <w:r>
        <w:rPr>
          <w:rFonts w:ascii="Times New Roman" w:hAnsi="Times New Roman" w:cs="Times New Roman"/>
          <w:sz w:val="24"/>
          <w:szCs w:val="24"/>
        </w:rPr>
        <w:t>.</w:t>
      </w:r>
    </w:p>
    <w:p w14:paraId="77C3256F" w14:textId="77777777" w:rsidR="008124E0" w:rsidRDefault="008124E0" w:rsidP="00E04F3C">
      <w:pPr>
        <w:autoSpaceDE w:val="0"/>
        <w:autoSpaceDN w:val="0"/>
        <w:adjustRightInd w:val="0"/>
        <w:spacing w:after="0" w:line="240" w:lineRule="auto"/>
        <w:jc w:val="both"/>
        <w:rPr>
          <w:rFonts w:ascii="Times New Roman" w:hAnsi="Times New Roman" w:cs="Times New Roman"/>
          <w:sz w:val="24"/>
          <w:szCs w:val="24"/>
        </w:rPr>
      </w:pPr>
    </w:p>
    <w:p w14:paraId="01745E30" w14:textId="77777777" w:rsidR="002C1C39" w:rsidRDefault="002C1C39" w:rsidP="002C1C39">
      <w:pPr>
        <w:spacing w:line="240" w:lineRule="auto"/>
        <w:ind w:right="-31"/>
        <w:jc w:val="both"/>
        <w:rPr>
          <w:rFonts w:ascii="Times New Roman" w:hAnsi="Times New Roman" w:cs="Times New Roman"/>
          <w:i/>
          <w:sz w:val="24"/>
          <w:szCs w:val="24"/>
        </w:rPr>
      </w:pPr>
      <w:r>
        <w:rPr>
          <w:rFonts w:ascii="Times New Roman" w:hAnsi="Times New Roman" w:cs="Times New Roman"/>
          <w:sz w:val="24"/>
          <w:szCs w:val="24"/>
        </w:rPr>
        <w:t>The increased penalties will only be applied in new enforcement cases which are commenced on or after13 November 2017 and where the alleged breaches also took place on or after that date.</w:t>
      </w:r>
    </w:p>
    <w:p w14:paraId="0F2F6297" w14:textId="77777777" w:rsidR="008124E0" w:rsidRDefault="008124E0" w:rsidP="00F71D39">
      <w:pPr>
        <w:autoSpaceDE w:val="0"/>
        <w:autoSpaceDN w:val="0"/>
        <w:adjustRightInd w:val="0"/>
        <w:spacing w:after="0" w:line="240" w:lineRule="auto"/>
        <w:jc w:val="both"/>
        <w:rPr>
          <w:rFonts w:ascii="Times New Roman" w:hAnsi="Times New Roman" w:cs="Times New Roman"/>
          <w:b/>
          <w:color w:val="98002E"/>
          <w:sz w:val="24"/>
          <w:szCs w:val="24"/>
        </w:rPr>
      </w:pPr>
      <w:bookmarkStart w:id="1" w:name="_GoBack"/>
      <w:bookmarkEnd w:id="1"/>
    </w:p>
    <w:p w14:paraId="27E5FB72" w14:textId="77777777" w:rsidR="00F71D39" w:rsidRPr="00C10BBE" w:rsidRDefault="000544F9" w:rsidP="00F71D39">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color w:val="98002E"/>
          <w:sz w:val="24"/>
          <w:szCs w:val="24"/>
        </w:rPr>
        <w:t>Changes</w:t>
      </w:r>
      <w:r w:rsidR="00F71D39">
        <w:rPr>
          <w:rFonts w:ascii="Times New Roman" w:hAnsi="Times New Roman" w:cs="Times New Roman"/>
          <w:b/>
          <w:color w:val="98002E"/>
          <w:sz w:val="24"/>
          <w:szCs w:val="24"/>
        </w:rPr>
        <w:t xml:space="preserve"> made</w:t>
      </w:r>
      <w:r>
        <w:rPr>
          <w:rFonts w:ascii="Times New Roman" w:hAnsi="Times New Roman" w:cs="Times New Roman"/>
          <w:b/>
          <w:color w:val="98002E"/>
          <w:sz w:val="24"/>
          <w:szCs w:val="24"/>
        </w:rPr>
        <w:t xml:space="preserve"> to </w:t>
      </w:r>
      <w:r w:rsidR="00B634A2">
        <w:rPr>
          <w:rFonts w:ascii="Times New Roman" w:hAnsi="Times New Roman" w:cs="Times New Roman"/>
          <w:b/>
          <w:color w:val="98002E"/>
          <w:sz w:val="24"/>
          <w:szCs w:val="24"/>
        </w:rPr>
        <w:t xml:space="preserve">the </w:t>
      </w:r>
      <w:r>
        <w:rPr>
          <w:rFonts w:ascii="Times New Roman" w:hAnsi="Times New Roman" w:cs="Times New Roman"/>
          <w:b/>
          <w:color w:val="98002E"/>
          <w:sz w:val="24"/>
          <w:szCs w:val="24"/>
        </w:rPr>
        <w:t>schedule</w:t>
      </w:r>
    </w:p>
    <w:p w14:paraId="3CEC0DEB" w14:textId="77777777" w:rsidR="00F71D39" w:rsidRDefault="00F71D39" w:rsidP="00E04F3C">
      <w:pPr>
        <w:autoSpaceDE w:val="0"/>
        <w:autoSpaceDN w:val="0"/>
        <w:adjustRightInd w:val="0"/>
        <w:spacing w:after="0" w:line="240" w:lineRule="auto"/>
        <w:jc w:val="both"/>
        <w:rPr>
          <w:rFonts w:ascii="Times New Roman" w:hAnsi="Times New Roman" w:cs="Times New Roman"/>
          <w:sz w:val="24"/>
          <w:szCs w:val="24"/>
        </w:rPr>
      </w:pPr>
    </w:p>
    <w:p w14:paraId="46DED17A" w14:textId="77777777" w:rsidR="00F71D39" w:rsidRDefault="00F71D39" w:rsidP="00E04F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schedule has been amended to take</w:t>
      </w:r>
      <w:r w:rsidR="008124E0">
        <w:rPr>
          <w:rFonts w:ascii="Times New Roman" w:hAnsi="Times New Roman" w:cs="Times New Roman"/>
          <w:sz w:val="24"/>
          <w:szCs w:val="24"/>
        </w:rPr>
        <w:t xml:space="preserve"> account of the following</w:t>
      </w:r>
      <w:r>
        <w:rPr>
          <w:rFonts w:ascii="Times New Roman" w:hAnsi="Times New Roman" w:cs="Times New Roman"/>
          <w:sz w:val="24"/>
          <w:szCs w:val="24"/>
        </w:rPr>
        <w:t>: -</w:t>
      </w:r>
    </w:p>
    <w:p w14:paraId="6D171EBE" w14:textId="77777777" w:rsidR="00F71D39" w:rsidRDefault="00F71D39" w:rsidP="00E04F3C">
      <w:pPr>
        <w:autoSpaceDE w:val="0"/>
        <w:autoSpaceDN w:val="0"/>
        <w:adjustRightInd w:val="0"/>
        <w:spacing w:after="0" w:line="240" w:lineRule="auto"/>
        <w:jc w:val="both"/>
        <w:rPr>
          <w:rFonts w:ascii="Times New Roman" w:hAnsi="Times New Roman" w:cs="Times New Roman"/>
          <w:sz w:val="24"/>
          <w:szCs w:val="24"/>
        </w:rPr>
      </w:pPr>
    </w:p>
    <w:p w14:paraId="2B034EAB" w14:textId="77777777" w:rsidR="008F317D" w:rsidRDefault="00F71D39" w:rsidP="00F71D39">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6E67BB">
        <w:rPr>
          <w:rFonts w:ascii="Times New Roman" w:hAnsi="Times New Roman" w:cs="Times New Roman"/>
          <w:sz w:val="24"/>
          <w:szCs w:val="24"/>
        </w:rPr>
        <w:t>C</w:t>
      </w:r>
      <w:r w:rsidR="000544F9">
        <w:rPr>
          <w:rFonts w:ascii="Times New Roman" w:hAnsi="Times New Roman" w:cs="Times New Roman"/>
          <w:sz w:val="24"/>
          <w:szCs w:val="24"/>
        </w:rPr>
        <w:t>larification that c</w:t>
      </w:r>
      <w:r w:rsidR="005D71B4" w:rsidRPr="006E67BB">
        <w:rPr>
          <w:rFonts w:ascii="Times New Roman" w:hAnsi="Times New Roman" w:cs="Times New Roman"/>
          <w:sz w:val="24"/>
          <w:szCs w:val="24"/>
        </w:rPr>
        <w:t xml:space="preserve">onsideration will be given to </w:t>
      </w:r>
      <w:r w:rsidRPr="006E67BB">
        <w:rPr>
          <w:rFonts w:ascii="Times New Roman" w:hAnsi="Times New Roman" w:cs="Times New Roman"/>
          <w:sz w:val="24"/>
          <w:szCs w:val="24"/>
        </w:rPr>
        <w:t xml:space="preserve">the </w:t>
      </w:r>
      <w:r w:rsidR="005D71B4" w:rsidRPr="006E67BB">
        <w:rPr>
          <w:rFonts w:ascii="Times New Roman" w:hAnsi="Times New Roman" w:cs="Times New Roman"/>
          <w:sz w:val="24"/>
          <w:szCs w:val="24"/>
        </w:rPr>
        <w:t xml:space="preserve">total emoluments earned by a ‘Relevant Officer’ </w:t>
      </w:r>
      <w:r w:rsidRPr="006E67BB">
        <w:rPr>
          <w:rFonts w:ascii="Times New Roman" w:hAnsi="Times New Roman" w:cs="Times New Roman"/>
          <w:sz w:val="24"/>
          <w:szCs w:val="24"/>
        </w:rPr>
        <w:t>(</w:t>
      </w:r>
      <w:r w:rsidR="006E67BB" w:rsidRPr="006E67BB">
        <w:rPr>
          <w:rFonts w:ascii="Times New Roman" w:hAnsi="Times New Roman" w:cs="Times New Roman"/>
          <w:sz w:val="24"/>
          <w:szCs w:val="24"/>
        </w:rPr>
        <w:t>that is a director, controller, partner, manager, general representative or authorised insurance representative of a licensee or former licensee</w:t>
      </w:r>
      <w:r w:rsidRPr="006E67BB">
        <w:rPr>
          <w:rFonts w:ascii="Times New Roman" w:hAnsi="Times New Roman" w:cs="Times New Roman"/>
          <w:sz w:val="24"/>
          <w:szCs w:val="24"/>
        </w:rPr>
        <w:t xml:space="preserve">) </w:t>
      </w:r>
      <w:r w:rsidR="005D71B4" w:rsidRPr="000544F9">
        <w:rPr>
          <w:rFonts w:ascii="Times New Roman" w:hAnsi="Times New Roman" w:cs="Times New Roman"/>
          <w:b/>
          <w:sz w:val="24"/>
          <w:szCs w:val="24"/>
        </w:rPr>
        <w:t>across all of the Bandings rather than just Banding 4</w:t>
      </w:r>
      <w:r w:rsidR="005D71B4" w:rsidRPr="006E67BB">
        <w:rPr>
          <w:rFonts w:ascii="Times New Roman" w:hAnsi="Times New Roman" w:cs="Times New Roman"/>
          <w:sz w:val="24"/>
          <w:szCs w:val="24"/>
        </w:rPr>
        <w:t>.</w:t>
      </w:r>
    </w:p>
    <w:p w14:paraId="38EDC279" w14:textId="77777777" w:rsidR="00B74849" w:rsidRPr="006E67BB" w:rsidRDefault="00B74849" w:rsidP="00B74849">
      <w:pPr>
        <w:pStyle w:val="ListParagraph"/>
        <w:autoSpaceDE w:val="0"/>
        <w:autoSpaceDN w:val="0"/>
        <w:adjustRightInd w:val="0"/>
        <w:spacing w:after="0" w:line="240" w:lineRule="auto"/>
        <w:jc w:val="both"/>
        <w:rPr>
          <w:rFonts w:ascii="Times New Roman" w:hAnsi="Times New Roman" w:cs="Times New Roman"/>
          <w:sz w:val="24"/>
          <w:szCs w:val="24"/>
        </w:rPr>
      </w:pPr>
    </w:p>
    <w:p w14:paraId="144A7952" w14:textId="77777777" w:rsidR="00B74849" w:rsidRDefault="00B74849" w:rsidP="00B74849">
      <w:pPr>
        <w:pStyle w:val="ListParagraph"/>
        <w:numPr>
          <w:ilvl w:val="0"/>
          <w:numId w:val="21"/>
        </w:numPr>
        <w:spacing w:line="240" w:lineRule="auto"/>
        <w:ind w:right="-31"/>
        <w:jc w:val="both"/>
        <w:rPr>
          <w:rFonts w:ascii="Times New Roman" w:hAnsi="Times New Roman" w:cs="Times New Roman"/>
          <w:i/>
          <w:sz w:val="24"/>
          <w:szCs w:val="24"/>
        </w:rPr>
      </w:pPr>
      <w:r w:rsidRPr="00B74849">
        <w:rPr>
          <w:rFonts w:ascii="Times New Roman" w:hAnsi="Times New Roman" w:cs="Times New Roman"/>
          <w:sz w:val="24"/>
          <w:szCs w:val="24"/>
        </w:rPr>
        <w:t xml:space="preserve">The caveat in bold at the bottom of the </w:t>
      </w:r>
      <w:r w:rsidR="00B634A2">
        <w:rPr>
          <w:rFonts w:ascii="Times New Roman" w:hAnsi="Times New Roman" w:cs="Times New Roman"/>
          <w:sz w:val="24"/>
          <w:szCs w:val="24"/>
        </w:rPr>
        <w:t>schedule</w:t>
      </w:r>
      <w:r w:rsidRPr="00B74849">
        <w:rPr>
          <w:rFonts w:ascii="Times New Roman" w:hAnsi="Times New Roman" w:cs="Times New Roman"/>
          <w:sz w:val="24"/>
          <w:szCs w:val="24"/>
        </w:rPr>
        <w:t xml:space="preserve"> has been amended to read</w:t>
      </w:r>
      <w:r>
        <w:rPr>
          <w:rFonts w:ascii="Times New Roman" w:hAnsi="Times New Roman" w:cs="Times New Roman"/>
          <w:sz w:val="24"/>
          <w:szCs w:val="24"/>
        </w:rPr>
        <w:t xml:space="preserve">: </w:t>
      </w:r>
      <w:r w:rsidRPr="005D71B4">
        <w:rPr>
          <w:rFonts w:ascii="Times New Roman" w:hAnsi="Times New Roman" w:cs="Times New Roman"/>
          <w:i/>
          <w:sz w:val="24"/>
          <w:szCs w:val="24"/>
        </w:rPr>
        <w:t>“</w:t>
      </w:r>
      <w:r w:rsidR="00820AE4">
        <w:rPr>
          <w:rFonts w:ascii="Times New Roman" w:hAnsi="Times New Roman" w:cs="Times New Roman"/>
          <w:i/>
          <w:sz w:val="24"/>
          <w:szCs w:val="24"/>
        </w:rPr>
        <w:t>*</w:t>
      </w:r>
      <w:r w:rsidRPr="005D71B4">
        <w:rPr>
          <w:rFonts w:ascii="Times New Roman" w:hAnsi="Times New Roman" w:cs="Times New Roman"/>
          <w:i/>
          <w:sz w:val="24"/>
          <w:szCs w:val="24"/>
        </w:rPr>
        <w:t>Supervisory action will often be more appropriate for failings identif</w:t>
      </w:r>
      <w:r>
        <w:rPr>
          <w:rFonts w:ascii="Times New Roman" w:hAnsi="Times New Roman" w:cs="Times New Roman"/>
          <w:i/>
          <w:sz w:val="24"/>
          <w:szCs w:val="24"/>
        </w:rPr>
        <w:t xml:space="preserve">ied in Band 1 and as such we will not seek to </w:t>
      </w:r>
      <w:r w:rsidRPr="005D71B4">
        <w:rPr>
          <w:rFonts w:ascii="Times New Roman" w:hAnsi="Times New Roman" w:cs="Times New Roman"/>
          <w:i/>
          <w:sz w:val="24"/>
          <w:szCs w:val="24"/>
        </w:rPr>
        <w:t>enforce on the cha</w:t>
      </w:r>
      <w:r>
        <w:rPr>
          <w:rFonts w:ascii="Times New Roman" w:hAnsi="Times New Roman" w:cs="Times New Roman"/>
          <w:i/>
          <w:sz w:val="24"/>
          <w:szCs w:val="24"/>
        </w:rPr>
        <w:t>racteris</w:t>
      </w:r>
      <w:r w:rsidR="00820AE4">
        <w:rPr>
          <w:rFonts w:ascii="Times New Roman" w:hAnsi="Times New Roman" w:cs="Times New Roman"/>
          <w:i/>
          <w:sz w:val="24"/>
          <w:szCs w:val="24"/>
        </w:rPr>
        <w:t xml:space="preserve">tics within this band where </w:t>
      </w:r>
      <w:r w:rsidRPr="005D71B4">
        <w:rPr>
          <w:rFonts w:ascii="Times New Roman" w:hAnsi="Times New Roman" w:cs="Times New Roman"/>
          <w:i/>
          <w:sz w:val="24"/>
          <w:szCs w:val="24"/>
        </w:rPr>
        <w:t>supervi</w:t>
      </w:r>
      <w:r>
        <w:rPr>
          <w:rFonts w:ascii="Times New Roman" w:hAnsi="Times New Roman" w:cs="Times New Roman"/>
          <w:i/>
          <w:sz w:val="24"/>
          <w:szCs w:val="24"/>
        </w:rPr>
        <w:t>sory action is deemed to be sufficient.”</w:t>
      </w:r>
    </w:p>
    <w:p w14:paraId="081CFEB5" w14:textId="77777777" w:rsidR="00B74849" w:rsidRPr="00B74849" w:rsidRDefault="00B74849" w:rsidP="00B74849">
      <w:pPr>
        <w:pStyle w:val="ListParagraph"/>
        <w:rPr>
          <w:rFonts w:ascii="Times New Roman" w:hAnsi="Times New Roman" w:cs="Times New Roman"/>
          <w:i/>
          <w:sz w:val="24"/>
          <w:szCs w:val="24"/>
        </w:rPr>
      </w:pPr>
    </w:p>
    <w:p w14:paraId="5B6416E8" w14:textId="77777777" w:rsidR="008977E9" w:rsidRPr="008977E9" w:rsidRDefault="00B74849" w:rsidP="008977E9">
      <w:pPr>
        <w:pStyle w:val="ListParagraph"/>
        <w:numPr>
          <w:ilvl w:val="0"/>
          <w:numId w:val="21"/>
        </w:numPr>
        <w:spacing w:line="240" w:lineRule="auto"/>
        <w:ind w:right="-31"/>
        <w:jc w:val="both"/>
        <w:rPr>
          <w:rFonts w:ascii="Times New Roman" w:hAnsi="Times New Roman" w:cs="Times New Roman"/>
          <w:i/>
          <w:sz w:val="24"/>
          <w:szCs w:val="24"/>
        </w:rPr>
      </w:pPr>
      <w:r>
        <w:rPr>
          <w:rFonts w:ascii="Times New Roman" w:hAnsi="Times New Roman" w:cs="Times New Roman"/>
          <w:sz w:val="24"/>
          <w:szCs w:val="24"/>
        </w:rPr>
        <w:t>The fines for individuals now refer to the maximum rather than a range.</w:t>
      </w:r>
    </w:p>
    <w:p w14:paraId="29CFA21E" w14:textId="77777777" w:rsidR="008977E9" w:rsidRPr="008977E9" w:rsidRDefault="008977E9" w:rsidP="008977E9">
      <w:pPr>
        <w:pStyle w:val="ListParagraph"/>
        <w:spacing w:line="240" w:lineRule="auto"/>
        <w:ind w:right="-31"/>
        <w:jc w:val="both"/>
        <w:rPr>
          <w:rFonts w:ascii="Times New Roman" w:hAnsi="Times New Roman" w:cs="Times New Roman"/>
          <w:i/>
          <w:sz w:val="24"/>
          <w:szCs w:val="24"/>
        </w:rPr>
      </w:pPr>
    </w:p>
    <w:p w14:paraId="1D8B1897" w14:textId="77777777" w:rsidR="00830503" w:rsidRPr="008977E9" w:rsidRDefault="008124E0" w:rsidP="00830503">
      <w:pPr>
        <w:pStyle w:val="ListParagraph"/>
        <w:numPr>
          <w:ilvl w:val="0"/>
          <w:numId w:val="21"/>
        </w:numPr>
        <w:spacing w:line="240" w:lineRule="auto"/>
        <w:ind w:right="-31"/>
        <w:jc w:val="both"/>
        <w:rPr>
          <w:rFonts w:ascii="Times New Roman" w:hAnsi="Times New Roman" w:cs="Times New Roman"/>
          <w:i/>
          <w:sz w:val="24"/>
          <w:szCs w:val="24"/>
        </w:rPr>
      </w:pPr>
      <w:r>
        <w:rPr>
          <w:rFonts w:ascii="Times New Roman" w:hAnsi="Times New Roman" w:cs="Times New Roman"/>
          <w:sz w:val="24"/>
          <w:szCs w:val="24"/>
        </w:rPr>
        <w:t xml:space="preserve">For Bands 3 and 4 the wording in relation to </w:t>
      </w:r>
      <w:r w:rsidR="00820AE4">
        <w:rPr>
          <w:rFonts w:ascii="Times New Roman" w:hAnsi="Times New Roman" w:cs="Times New Roman"/>
          <w:sz w:val="24"/>
          <w:szCs w:val="24"/>
        </w:rPr>
        <w:t xml:space="preserve">fines for </w:t>
      </w:r>
      <w:r>
        <w:rPr>
          <w:rFonts w:ascii="Times New Roman" w:hAnsi="Times New Roman" w:cs="Times New Roman"/>
          <w:sz w:val="24"/>
          <w:szCs w:val="24"/>
        </w:rPr>
        <w:t>firms has been amended to</w:t>
      </w:r>
      <w:r w:rsidR="00711088">
        <w:rPr>
          <w:rFonts w:ascii="Times New Roman" w:hAnsi="Times New Roman" w:cs="Times New Roman"/>
          <w:sz w:val="24"/>
          <w:szCs w:val="24"/>
        </w:rPr>
        <w:t xml:space="preserve"> provide greater clarity about the relevance of a firm’s turnover.</w:t>
      </w:r>
      <w:bookmarkEnd w:id="0"/>
    </w:p>
    <w:p w14:paraId="7C3B1B77" w14:textId="77777777" w:rsidR="00830503" w:rsidRPr="00C10BBE" w:rsidRDefault="00830503" w:rsidP="00830503">
      <w:pPr>
        <w:ind w:right="-31"/>
        <w:rPr>
          <w:rFonts w:ascii="Times New Roman" w:eastAsiaTheme="majorEastAsia" w:hAnsi="Times New Roman" w:cs="Times New Roman"/>
          <w:b/>
          <w:bCs/>
          <w:sz w:val="24"/>
          <w:szCs w:val="24"/>
        </w:rPr>
        <w:sectPr w:rsidR="00830503" w:rsidRPr="00C10BBE" w:rsidSect="008977E9">
          <w:footerReference w:type="default" r:id="rId13"/>
          <w:pgSz w:w="11906" w:h="16838"/>
          <w:pgMar w:top="1134" w:right="1440" w:bottom="1134" w:left="1440" w:header="709" w:footer="709" w:gutter="0"/>
          <w:cols w:space="708"/>
          <w:titlePg/>
          <w:docGrid w:linePitch="360"/>
        </w:sectPr>
      </w:pPr>
    </w:p>
    <w:p w14:paraId="0299906E" w14:textId="39D98195" w:rsidR="00337EF0" w:rsidRDefault="00337EF0" w:rsidP="00337EF0">
      <w:pPr>
        <w:spacing w:after="0" w:line="360" w:lineRule="auto"/>
        <w:jc w:val="both"/>
        <w:rPr>
          <w:rFonts w:ascii="Times New Roman" w:hAnsi="Times New Roman" w:cs="Times New Roman"/>
          <w:b/>
          <w:color w:val="98002E"/>
          <w:sz w:val="18"/>
          <w:szCs w:val="18"/>
        </w:rPr>
      </w:pPr>
      <w:r w:rsidRPr="007A42EB">
        <w:rPr>
          <w:rFonts w:ascii="Times New Roman" w:hAnsi="Times New Roman" w:cs="Times New Roman"/>
          <w:b/>
          <w:color w:val="98002E"/>
          <w:sz w:val="18"/>
          <w:szCs w:val="18"/>
        </w:rPr>
        <w:lastRenderedPageBreak/>
        <w:t>Di</w:t>
      </w:r>
      <w:r>
        <w:rPr>
          <w:rFonts w:ascii="Times New Roman" w:hAnsi="Times New Roman" w:cs="Times New Roman"/>
          <w:b/>
          <w:color w:val="98002E"/>
          <w:sz w:val="18"/>
          <w:szCs w:val="18"/>
        </w:rPr>
        <w:t xml:space="preserve">scretionary </w:t>
      </w:r>
      <w:r w:rsidR="005201AF">
        <w:rPr>
          <w:rFonts w:ascii="Times New Roman" w:hAnsi="Times New Roman" w:cs="Times New Roman"/>
          <w:b/>
          <w:color w:val="98002E"/>
          <w:sz w:val="18"/>
          <w:szCs w:val="18"/>
        </w:rPr>
        <w:t xml:space="preserve">Financial </w:t>
      </w:r>
      <w:r>
        <w:rPr>
          <w:rFonts w:ascii="Times New Roman" w:hAnsi="Times New Roman" w:cs="Times New Roman"/>
          <w:b/>
          <w:color w:val="98002E"/>
          <w:sz w:val="18"/>
          <w:szCs w:val="18"/>
        </w:rPr>
        <w:t xml:space="preserve">Penalties – </w:t>
      </w:r>
      <w:r w:rsidRPr="007A42EB">
        <w:rPr>
          <w:rFonts w:ascii="Times New Roman" w:hAnsi="Times New Roman" w:cs="Times New Roman"/>
          <w:b/>
          <w:color w:val="98002E"/>
          <w:sz w:val="18"/>
          <w:szCs w:val="18"/>
        </w:rPr>
        <w:t>schedule of bandings</w:t>
      </w:r>
      <w:r w:rsidRPr="007A42EB">
        <w:rPr>
          <w:rFonts w:ascii="Times New Roman" w:hAnsi="Times New Roman" w:cs="Times New Roman"/>
          <w:b/>
          <w:color w:val="98002E"/>
          <w:sz w:val="18"/>
          <w:szCs w:val="18"/>
        </w:rPr>
        <w:tab/>
      </w:r>
      <w:r w:rsidRPr="007A42EB">
        <w:rPr>
          <w:rFonts w:ascii="Times New Roman" w:hAnsi="Times New Roman" w:cs="Times New Roman"/>
          <w:b/>
          <w:color w:val="98002E"/>
          <w:sz w:val="18"/>
          <w:szCs w:val="18"/>
        </w:rPr>
        <w:tab/>
      </w:r>
      <w:r w:rsidRPr="007A42EB">
        <w:rPr>
          <w:rFonts w:ascii="Times New Roman" w:hAnsi="Times New Roman" w:cs="Times New Roman"/>
          <w:b/>
          <w:color w:val="98002E"/>
          <w:sz w:val="18"/>
          <w:szCs w:val="18"/>
        </w:rPr>
        <w:tab/>
      </w:r>
      <w:r w:rsidRPr="007A42EB">
        <w:rPr>
          <w:rFonts w:ascii="Times New Roman" w:hAnsi="Times New Roman" w:cs="Times New Roman"/>
          <w:b/>
          <w:color w:val="98002E"/>
          <w:sz w:val="18"/>
          <w:szCs w:val="18"/>
        </w:rPr>
        <w:tab/>
      </w:r>
      <w:r w:rsidRPr="007A42EB">
        <w:rPr>
          <w:rFonts w:ascii="Times New Roman" w:hAnsi="Times New Roman" w:cs="Times New Roman"/>
          <w:b/>
          <w:color w:val="98002E"/>
          <w:sz w:val="18"/>
          <w:szCs w:val="18"/>
        </w:rPr>
        <w:tab/>
      </w:r>
      <w:r w:rsidRPr="007A42EB">
        <w:rPr>
          <w:rFonts w:ascii="Times New Roman" w:hAnsi="Times New Roman" w:cs="Times New Roman"/>
          <w:b/>
          <w:color w:val="98002E"/>
          <w:sz w:val="18"/>
          <w:szCs w:val="18"/>
        </w:rPr>
        <w:tab/>
      </w:r>
      <w:r w:rsidRPr="007A42EB">
        <w:rPr>
          <w:rFonts w:ascii="Times New Roman" w:hAnsi="Times New Roman" w:cs="Times New Roman"/>
          <w:b/>
          <w:color w:val="98002E"/>
          <w:sz w:val="18"/>
          <w:szCs w:val="18"/>
        </w:rPr>
        <w:tab/>
        <w:t xml:space="preserve">      </w:t>
      </w:r>
      <w:r>
        <w:rPr>
          <w:rFonts w:ascii="Times New Roman" w:hAnsi="Times New Roman" w:cs="Times New Roman"/>
          <w:b/>
          <w:color w:val="98002E"/>
          <w:sz w:val="18"/>
          <w:szCs w:val="18"/>
        </w:rPr>
        <w:t xml:space="preserve">                </w:t>
      </w:r>
      <w:r w:rsidR="005201AF">
        <w:rPr>
          <w:rFonts w:ascii="Times New Roman" w:hAnsi="Times New Roman" w:cs="Times New Roman"/>
          <w:b/>
          <w:color w:val="98002E"/>
          <w:sz w:val="18"/>
          <w:szCs w:val="18"/>
        </w:rPr>
        <w:t xml:space="preserve">                           </w:t>
      </w:r>
      <w:r>
        <w:rPr>
          <w:rFonts w:ascii="Times New Roman" w:hAnsi="Times New Roman" w:cs="Times New Roman"/>
          <w:b/>
          <w:color w:val="98002E"/>
          <w:sz w:val="18"/>
          <w:szCs w:val="18"/>
        </w:rPr>
        <w:t xml:space="preserve">                          </w:t>
      </w:r>
      <w:r w:rsidR="005201AF">
        <w:rPr>
          <w:rFonts w:ascii="Times New Roman" w:hAnsi="Times New Roman" w:cs="Times New Roman"/>
          <w:b/>
          <w:color w:val="98002E"/>
          <w:sz w:val="18"/>
          <w:szCs w:val="18"/>
        </w:rPr>
        <w:t xml:space="preserve">          </w:t>
      </w:r>
      <w:r w:rsidRPr="007A42EB">
        <w:rPr>
          <w:rFonts w:ascii="Times New Roman" w:hAnsi="Times New Roman" w:cs="Times New Roman"/>
          <w:b/>
          <w:color w:val="98002E"/>
          <w:sz w:val="18"/>
          <w:szCs w:val="18"/>
        </w:rPr>
        <w:t>Appendix</w:t>
      </w:r>
    </w:p>
    <w:p w14:paraId="58468A86" w14:textId="77777777" w:rsidR="00337EF0" w:rsidRPr="00F05120" w:rsidRDefault="00337EF0" w:rsidP="00337EF0">
      <w:pPr>
        <w:spacing w:after="0" w:line="360" w:lineRule="auto"/>
        <w:jc w:val="both"/>
        <w:rPr>
          <w:rFonts w:ascii="Times New Roman" w:hAnsi="Times New Roman" w:cs="Times New Roman"/>
          <w:sz w:val="18"/>
          <w:szCs w:val="18"/>
        </w:rPr>
      </w:pPr>
      <w:r w:rsidRPr="00F05120">
        <w:rPr>
          <w:rFonts w:ascii="Times New Roman" w:hAnsi="Times New Roman" w:cs="Times New Roman"/>
          <w:sz w:val="18"/>
          <w:szCs w:val="18"/>
        </w:rPr>
        <w:t>Please note that:</w:t>
      </w:r>
    </w:p>
    <w:p w14:paraId="253D2A39" w14:textId="77777777" w:rsidR="00337EF0" w:rsidRPr="00F05120" w:rsidRDefault="00337EF0" w:rsidP="00337EF0">
      <w:pPr>
        <w:pStyle w:val="ListParagraph"/>
        <w:numPr>
          <w:ilvl w:val="0"/>
          <w:numId w:val="22"/>
        </w:numPr>
        <w:spacing w:after="0" w:line="360" w:lineRule="auto"/>
        <w:jc w:val="both"/>
        <w:rPr>
          <w:rFonts w:ascii="Times New Roman" w:hAnsi="Times New Roman" w:cs="Times New Roman"/>
          <w:sz w:val="18"/>
          <w:szCs w:val="18"/>
        </w:rPr>
      </w:pPr>
      <w:r w:rsidRPr="00F05120">
        <w:rPr>
          <w:rFonts w:ascii="Times New Roman" w:hAnsi="Times New Roman" w:cs="Times New Roman"/>
          <w:sz w:val="18"/>
          <w:szCs w:val="18"/>
        </w:rPr>
        <w:t xml:space="preserve">The below </w:t>
      </w:r>
      <w:r w:rsidRPr="00F05120">
        <w:rPr>
          <w:rFonts w:ascii="Times New Roman" w:hAnsi="Times New Roman" w:cs="Times New Roman"/>
          <w:sz w:val="18"/>
          <w:szCs w:val="18"/>
          <w:u w:val="single"/>
        </w:rPr>
        <w:t>only applies</w:t>
      </w:r>
      <w:r w:rsidRPr="00F05120">
        <w:rPr>
          <w:rFonts w:ascii="Times New Roman" w:hAnsi="Times New Roman" w:cs="Times New Roman"/>
          <w:sz w:val="18"/>
          <w:szCs w:val="18"/>
        </w:rPr>
        <w:t xml:space="preserve"> in the event that it has been determined that it is appropriate to impose a discretionary financial penalty under section 11D of the FSC Law.</w:t>
      </w:r>
    </w:p>
    <w:p w14:paraId="36899AA2" w14:textId="77777777" w:rsidR="00337EF0" w:rsidRPr="00F05120" w:rsidRDefault="00337EF0" w:rsidP="00337EF0">
      <w:pPr>
        <w:pStyle w:val="ListParagraph"/>
        <w:numPr>
          <w:ilvl w:val="0"/>
          <w:numId w:val="22"/>
        </w:numPr>
        <w:spacing w:after="0" w:line="240" w:lineRule="auto"/>
        <w:jc w:val="both"/>
        <w:rPr>
          <w:rFonts w:ascii="Times New Roman" w:hAnsi="Times New Roman" w:cs="Times New Roman"/>
          <w:sz w:val="18"/>
          <w:szCs w:val="18"/>
        </w:rPr>
      </w:pPr>
      <w:r w:rsidRPr="00F05120">
        <w:rPr>
          <w:rFonts w:ascii="Times New Roman" w:hAnsi="Times New Roman" w:cs="Times New Roman"/>
          <w:sz w:val="18"/>
          <w:szCs w:val="18"/>
        </w:rPr>
        <w:t xml:space="preserve">In determining which band a firm or individual may fall under, the behaviour of the firm and individual (as relevant) will be considered.  Accordingly, where financial penalties are imposed upon both a firm and an individual (e.g. a director) for the same set of circumstances, these persons may, due to their differing obligations and in consideration of their behaviour, fall under different bands.  However, each situation will be considered as appropriate in a) arriving at a decision whether or not to impose a discretionary financial penalty and b) the amount of any such penalty (including the matters which must be considered under section 11D(2)(e) of the FSC Law).  </w:t>
      </w:r>
    </w:p>
    <w:tbl>
      <w:tblPr>
        <w:tblStyle w:val="TableGrid"/>
        <w:tblW w:w="5232" w:type="pct"/>
        <w:tblLook w:val="04A0" w:firstRow="1" w:lastRow="0" w:firstColumn="1" w:lastColumn="0" w:noHBand="0" w:noVBand="1"/>
      </w:tblPr>
      <w:tblGrid>
        <w:gridCol w:w="3488"/>
        <w:gridCol w:w="3736"/>
        <w:gridCol w:w="3404"/>
        <w:gridCol w:w="3967"/>
      </w:tblGrid>
      <w:tr w:rsidR="00337EF0" w:rsidRPr="007A42EB" w14:paraId="38BE667E" w14:textId="77777777" w:rsidTr="0021293B">
        <w:tc>
          <w:tcPr>
            <w:tcW w:w="1195" w:type="pct"/>
            <w:shd w:val="clear" w:color="auto" w:fill="943634" w:themeFill="accent2" w:themeFillShade="BF"/>
          </w:tcPr>
          <w:p w14:paraId="57FE0F18" w14:textId="77777777" w:rsidR="00337EF0" w:rsidRPr="007A42EB" w:rsidRDefault="00337EF0" w:rsidP="003A39E4">
            <w:pPr>
              <w:ind w:right="-455"/>
              <w:jc w:val="center"/>
              <w:rPr>
                <w:rFonts w:cs="Times New Roman"/>
                <w:b/>
                <w:color w:val="FFFFFF" w:themeColor="background1"/>
                <w:sz w:val="18"/>
                <w:szCs w:val="18"/>
              </w:rPr>
            </w:pPr>
            <w:r w:rsidRPr="007A42EB">
              <w:rPr>
                <w:rFonts w:cs="Times New Roman"/>
                <w:b/>
                <w:color w:val="FFFFFF" w:themeColor="background1"/>
                <w:sz w:val="18"/>
                <w:szCs w:val="18"/>
              </w:rPr>
              <w:t>Band 1</w:t>
            </w:r>
          </w:p>
        </w:tc>
        <w:tc>
          <w:tcPr>
            <w:tcW w:w="1280" w:type="pct"/>
            <w:shd w:val="clear" w:color="auto" w:fill="943634" w:themeFill="accent2" w:themeFillShade="BF"/>
          </w:tcPr>
          <w:p w14:paraId="4895E82E" w14:textId="77777777" w:rsidR="00337EF0" w:rsidRPr="007A42EB" w:rsidRDefault="00337EF0" w:rsidP="003A39E4">
            <w:pPr>
              <w:ind w:right="-455"/>
              <w:jc w:val="center"/>
              <w:rPr>
                <w:rFonts w:cs="Times New Roman"/>
                <w:b/>
                <w:color w:val="FFFFFF" w:themeColor="background1"/>
                <w:sz w:val="18"/>
                <w:szCs w:val="18"/>
              </w:rPr>
            </w:pPr>
            <w:r w:rsidRPr="007A42EB">
              <w:rPr>
                <w:rFonts w:cs="Times New Roman"/>
                <w:b/>
                <w:color w:val="FFFFFF" w:themeColor="background1"/>
                <w:sz w:val="18"/>
                <w:szCs w:val="18"/>
              </w:rPr>
              <w:t>Band 2</w:t>
            </w:r>
          </w:p>
        </w:tc>
        <w:tc>
          <w:tcPr>
            <w:tcW w:w="1166" w:type="pct"/>
            <w:shd w:val="clear" w:color="auto" w:fill="943634" w:themeFill="accent2" w:themeFillShade="BF"/>
          </w:tcPr>
          <w:p w14:paraId="39F90C18" w14:textId="77777777" w:rsidR="00337EF0" w:rsidRPr="007A42EB" w:rsidRDefault="00337EF0" w:rsidP="003A39E4">
            <w:pPr>
              <w:ind w:right="-455"/>
              <w:jc w:val="center"/>
              <w:rPr>
                <w:rFonts w:cs="Times New Roman"/>
                <w:b/>
                <w:color w:val="FFFFFF" w:themeColor="background1"/>
                <w:sz w:val="18"/>
                <w:szCs w:val="18"/>
              </w:rPr>
            </w:pPr>
            <w:r w:rsidRPr="007A42EB">
              <w:rPr>
                <w:rFonts w:cs="Times New Roman"/>
                <w:b/>
                <w:color w:val="FFFFFF" w:themeColor="background1"/>
                <w:sz w:val="18"/>
                <w:szCs w:val="18"/>
              </w:rPr>
              <w:t>Band 3</w:t>
            </w:r>
          </w:p>
        </w:tc>
        <w:tc>
          <w:tcPr>
            <w:tcW w:w="1359" w:type="pct"/>
            <w:shd w:val="clear" w:color="auto" w:fill="943634" w:themeFill="accent2" w:themeFillShade="BF"/>
          </w:tcPr>
          <w:p w14:paraId="2251D754" w14:textId="77777777" w:rsidR="00337EF0" w:rsidRPr="007A42EB" w:rsidRDefault="00337EF0" w:rsidP="003A39E4">
            <w:pPr>
              <w:ind w:right="-455"/>
              <w:jc w:val="center"/>
              <w:rPr>
                <w:rFonts w:cs="Times New Roman"/>
                <w:b/>
                <w:color w:val="FFFFFF" w:themeColor="background1"/>
                <w:sz w:val="18"/>
                <w:szCs w:val="18"/>
              </w:rPr>
            </w:pPr>
            <w:r w:rsidRPr="007A42EB">
              <w:rPr>
                <w:rFonts w:cs="Times New Roman"/>
                <w:b/>
                <w:color w:val="FFFFFF" w:themeColor="background1"/>
                <w:sz w:val="18"/>
                <w:szCs w:val="18"/>
              </w:rPr>
              <w:t>Band 4</w:t>
            </w:r>
          </w:p>
        </w:tc>
      </w:tr>
      <w:tr w:rsidR="00337EF0" w:rsidRPr="007A42EB" w14:paraId="181BE8B2" w14:textId="77777777" w:rsidTr="0021293B">
        <w:tc>
          <w:tcPr>
            <w:tcW w:w="5000" w:type="pct"/>
            <w:gridSpan w:val="4"/>
            <w:shd w:val="clear" w:color="auto" w:fill="943634" w:themeFill="accent2" w:themeFillShade="BF"/>
          </w:tcPr>
          <w:p w14:paraId="7B6EB35B" w14:textId="77777777" w:rsidR="00337EF0" w:rsidRPr="007A42EB" w:rsidRDefault="00337EF0" w:rsidP="003A39E4">
            <w:pPr>
              <w:ind w:right="-455"/>
              <w:rPr>
                <w:rFonts w:cs="Times New Roman"/>
                <w:b/>
                <w:color w:val="FFFFFF" w:themeColor="background1"/>
                <w:sz w:val="18"/>
                <w:szCs w:val="18"/>
              </w:rPr>
            </w:pPr>
            <w:r w:rsidRPr="007A42EB">
              <w:rPr>
                <w:rFonts w:cs="Times New Roman"/>
                <w:b/>
                <w:color w:val="FFFFFF" w:themeColor="background1"/>
                <w:sz w:val="18"/>
                <w:szCs w:val="18"/>
              </w:rPr>
              <w:t>Potential Sanctions – Firms</w:t>
            </w:r>
          </w:p>
          <w:p w14:paraId="60E3A41D" w14:textId="77777777" w:rsidR="00337EF0" w:rsidRPr="007A42EB" w:rsidRDefault="00337EF0" w:rsidP="003A39E4">
            <w:pPr>
              <w:ind w:right="-455"/>
              <w:rPr>
                <w:rFonts w:cs="Times New Roman"/>
                <w:b/>
                <w:color w:val="FFFFFF" w:themeColor="background1"/>
                <w:sz w:val="18"/>
                <w:szCs w:val="18"/>
              </w:rPr>
            </w:pPr>
          </w:p>
        </w:tc>
      </w:tr>
      <w:tr w:rsidR="00337EF0" w:rsidRPr="007A42EB" w14:paraId="61DB8279" w14:textId="77777777" w:rsidTr="0021293B">
        <w:tc>
          <w:tcPr>
            <w:tcW w:w="1195" w:type="pct"/>
          </w:tcPr>
          <w:p w14:paraId="01BAA752" w14:textId="77777777" w:rsidR="00337EF0" w:rsidRPr="007A42EB" w:rsidRDefault="00337EF0" w:rsidP="003A39E4">
            <w:pPr>
              <w:ind w:right="-64"/>
              <w:jc w:val="center"/>
              <w:rPr>
                <w:rFonts w:cs="Times New Roman"/>
                <w:sz w:val="18"/>
                <w:szCs w:val="18"/>
              </w:rPr>
            </w:pPr>
            <w:r>
              <w:rPr>
                <w:rFonts w:cs="Times New Roman"/>
                <w:sz w:val="18"/>
                <w:szCs w:val="18"/>
              </w:rPr>
              <w:t>*Up to</w:t>
            </w:r>
            <w:r w:rsidRPr="007A42EB">
              <w:rPr>
                <w:rFonts w:cs="Times New Roman"/>
                <w:sz w:val="18"/>
                <w:szCs w:val="18"/>
              </w:rPr>
              <w:t xml:space="preserve"> £50,000</w:t>
            </w:r>
          </w:p>
        </w:tc>
        <w:tc>
          <w:tcPr>
            <w:tcW w:w="1280" w:type="pct"/>
          </w:tcPr>
          <w:p w14:paraId="70B1A02B" w14:textId="77777777" w:rsidR="00337EF0" w:rsidRPr="007A42EB" w:rsidRDefault="00337EF0" w:rsidP="003A39E4">
            <w:pPr>
              <w:ind w:right="-53"/>
              <w:jc w:val="center"/>
              <w:rPr>
                <w:rFonts w:cs="Times New Roman"/>
                <w:sz w:val="18"/>
                <w:szCs w:val="18"/>
              </w:rPr>
            </w:pPr>
            <w:r>
              <w:rPr>
                <w:rFonts w:cs="Times New Roman"/>
                <w:sz w:val="18"/>
                <w:szCs w:val="18"/>
              </w:rPr>
              <w:t xml:space="preserve">Up to </w:t>
            </w:r>
            <w:r w:rsidRPr="007A42EB">
              <w:rPr>
                <w:rFonts w:cs="Times New Roman"/>
                <w:sz w:val="18"/>
                <w:szCs w:val="18"/>
              </w:rPr>
              <w:t>£200,000</w:t>
            </w:r>
          </w:p>
        </w:tc>
        <w:tc>
          <w:tcPr>
            <w:tcW w:w="1166" w:type="pct"/>
          </w:tcPr>
          <w:p w14:paraId="695A9858" w14:textId="77777777" w:rsidR="00337EF0" w:rsidRPr="007A42EB" w:rsidRDefault="00337EF0" w:rsidP="003A39E4">
            <w:pPr>
              <w:ind w:right="-42"/>
              <w:jc w:val="center"/>
              <w:rPr>
                <w:rFonts w:cs="Times New Roman"/>
                <w:sz w:val="18"/>
                <w:szCs w:val="18"/>
              </w:rPr>
            </w:pPr>
            <w:r>
              <w:rPr>
                <w:rFonts w:cs="Times New Roman"/>
                <w:sz w:val="18"/>
                <w:szCs w:val="18"/>
              </w:rPr>
              <w:t xml:space="preserve">Up to </w:t>
            </w:r>
            <w:r w:rsidRPr="007A42EB">
              <w:rPr>
                <w:rFonts w:cs="Times New Roman"/>
                <w:sz w:val="18"/>
                <w:szCs w:val="18"/>
              </w:rPr>
              <w:t>£500,000</w:t>
            </w:r>
          </w:p>
          <w:p w14:paraId="53934926" w14:textId="77777777" w:rsidR="00337EF0" w:rsidRPr="007A42EB" w:rsidRDefault="00337EF0" w:rsidP="003A39E4">
            <w:pPr>
              <w:ind w:right="-42"/>
              <w:jc w:val="center"/>
              <w:rPr>
                <w:rFonts w:cs="Times New Roman"/>
                <w:sz w:val="18"/>
                <w:szCs w:val="18"/>
              </w:rPr>
            </w:pPr>
          </w:p>
          <w:p w14:paraId="546A2732" w14:textId="77777777" w:rsidR="00337EF0" w:rsidRPr="008124E0" w:rsidRDefault="00337EF0" w:rsidP="003A39E4">
            <w:pPr>
              <w:ind w:right="-31"/>
              <w:jc w:val="both"/>
              <w:rPr>
                <w:rFonts w:cs="Times New Roman"/>
                <w:sz w:val="18"/>
                <w:szCs w:val="18"/>
              </w:rPr>
            </w:pPr>
            <w:r w:rsidRPr="008124E0">
              <w:rPr>
                <w:sz w:val="18"/>
                <w:szCs w:val="18"/>
              </w:rPr>
              <w:t>(</w:t>
            </w:r>
            <w:r>
              <w:rPr>
                <w:sz w:val="18"/>
                <w:szCs w:val="18"/>
              </w:rPr>
              <w:t>where it is proposed to impose a fine of more than £300,000, such fine shall not exceed</w:t>
            </w:r>
            <w:r>
              <w:rPr>
                <w:rFonts w:cs="Times New Roman"/>
                <w:sz w:val="18"/>
                <w:szCs w:val="18"/>
              </w:rPr>
              <w:t xml:space="preserve"> </w:t>
            </w:r>
            <w:r w:rsidRPr="008124E0">
              <w:rPr>
                <w:rFonts w:cs="Times New Roman"/>
                <w:sz w:val="18"/>
                <w:szCs w:val="18"/>
              </w:rPr>
              <w:t xml:space="preserve">10% of a firm’s turnover in the relevant accounting period, up to </w:t>
            </w:r>
            <w:r>
              <w:rPr>
                <w:rFonts w:cs="Times New Roman"/>
                <w:sz w:val="18"/>
                <w:szCs w:val="18"/>
              </w:rPr>
              <w:t>£500,000)</w:t>
            </w:r>
          </w:p>
        </w:tc>
        <w:tc>
          <w:tcPr>
            <w:tcW w:w="1359" w:type="pct"/>
          </w:tcPr>
          <w:p w14:paraId="076E94B1" w14:textId="77777777" w:rsidR="00337EF0" w:rsidRPr="007A42EB" w:rsidRDefault="00337EF0" w:rsidP="003A39E4">
            <w:pPr>
              <w:ind w:right="-455"/>
              <w:jc w:val="center"/>
              <w:rPr>
                <w:rFonts w:cs="Times New Roman"/>
                <w:sz w:val="18"/>
                <w:szCs w:val="18"/>
              </w:rPr>
            </w:pPr>
            <w:r>
              <w:rPr>
                <w:rFonts w:cs="Times New Roman"/>
                <w:sz w:val="18"/>
                <w:szCs w:val="18"/>
              </w:rPr>
              <w:t>Up to</w:t>
            </w:r>
            <w:r w:rsidRPr="007A42EB">
              <w:rPr>
                <w:rFonts w:cs="Times New Roman"/>
                <w:sz w:val="18"/>
                <w:szCs w:val="18"/>
              </w:rPr>
              <w:t xml:space="preserve"> £4 million</w:t>
            </w:r>
          </w:p>
          <w:p w14:paraId="384AF084" w14:textId="77777777" w:rsidR="00337EF0" w:rsidRPr="007A42EB" w:rsidRDefault="00337EF0" w:rsidP="003A39E4">
            <w:pPr>
              <w:ind w:right="-455"/>
              <w:rPr>
                <w:rFonts w:cs="Times New Roman"/>
                <w:sz w:val="18"/>
                <w:szCs w:val="18"/>
              </w:rPr>
            </w:pPr>
          </w:p>
          <w:p w14:paraId="2DF9C3DB" w14:textId="77777777" w:rsidR="00337EF0" w:rsidRPr="007A42EB" w:rsidRDefault="00337EF0" w:rsidP="003A39E4">
            <w:pPr>
              <w:ind w:right="-32"/>
              <w:rPr>
                <w:rFonts w:cs="Times New Roman"/>
                <w:sz w:val="18"/>
                <w:szCs w:val="18"/>
              </w:rPr>
            </w:pPr>
            <w:r w:rsidRPr="008124E0">
              <w:rPr>
                <w:sz w:val="18"/>
                <w:szCs w:val="18"/>
              </w:rPr>
              <w:t>(</w:t>
            </w:r>
            <w:r>
              <w:rPr>
                <w:sz w:val="18"/>
                <w:szCs w:val="18"/>
              </w:rPr>
              <w:t>where it is proposed to impose a fine of more than £300,000, such fine shall not exceed</w:t>
            </w:r>
            <w:r>
              <w:rPr>
                <w:rFonts w:cs="Times New Roman"/>
                <w:sz w:val="18"/>
                <w:szCs w:val="18"/>
              </w:rPr>
              <w:t xml:space="preserve"> </w:t>
            </w:r>
            <w:r w:rsidRPr="008124E0">
              <w:rPr>
                <w:rFonts w:cs="Times New Roman"/>
                <w:sz w:val="18"/>
                <w:szCs w:val="18"/>
              </w:rPr>
              <w:t>10% of a firm’s turnover in the re</w:t>
            </w:r>
            <w:r>
              <w:rPr>
                <w:rFonts w:cs="Times New Roman"/>
                <w:sz w:val="18"/>
                <w:szCs w:val="18"/>
              </w:rPr>
              <w:t>levant accounting period, up to £4 million</w:t>
            </w:r>
            <w:r w:rsidRPr="008124E0">
              <w:rPr>
                <w:sz w:val="18"/>
                <w:szCs w:val="18"/>
              </w:rPr>
              <w:t>)</w:t>
            </w:r>
          </w:p>
        </w:tc>
      </w:tr>
      <w:tr w:rsidR="00337EF0" w:rsidRPr="007A42EB" w14:paraId="02B4C7CD" w14:textId="77777777" w:rsidTr="0021293B">
        <w:tc>
          <w:tcPr>
            <w:tcW w:w="5000" w:type="pct"/>
            <w:gridSpan w:val="4"/>
            <w:shd w:val="clear" w:color="auto" w:fill="943634" w:themeFill="accent2" w:themeFillShade="BF"/>
          </w:tcPr>
          <w:p w14:paraId="3D293499" w14:textId="77777777" w:rsidR="00337EF0" w:rsidRPr="007A42EB" w:rsidRDefault="00337EF0" w:rsidP="003A39E4">
            <w:pPr>
              <w:ind w:right="-455"/>
              <w:rPr>
                <w:rFonts w:cs="Times New Roman"/>
                <w:b/>
                <w:color w:val="FFFFFF" w:themeColor="background1"/>
                <w:sz w:val="18"/>
                <w:szCs w:val="18"/>
              </w:rPr>
            </w:pPr>
            <w:r w:rsidRPr="007A42EB">
              <w:rPr>
                <w:rFonts w:cs="Times New Roman"/>
                <w:b/>
                <w:color w:val="FFFFFF" w:themeColor="background1"/>
                <w:sz w:val="18"/>
                <w:szCs w:val="18"/>
              </w:rPr>
              <w:t>Potential Sanctions – Individuals</w:t>
            </w:r>
          </w:p>
          <w:p w14:paraId="70D3A6D9" w14:textId="77777777" w:rsidR="00337EF0" w:rsidRPr="007A42EB" w:rsidRDefault="00337EF0" w:rsidP="003A39E4">
            <w:pPr>
              <w:ind w:right="-455"/>
              <w:rPr>
                <w:rFonts w:cs="Times New Roman"/>
                <w:b/>
                <w:color w:val="FFFFFF" w:themeColor="background1"/>
                <w:sz w:val="18"/>
                <w:szCs w:val="18"/>
              </w:rPr>
            </w:pPr>
          </w:p>
        </w:tc>
      </w:tr>
      <w:tr w:rsidR="00337EF0" w:rsidRPr="007A42EB" w14:paraId="3062E171" w14:textId="77777777" w:rsidTr="0021293B">
        <w:tc>
          <w:tcPr>
            <w:tcW w:w="1195" w:type="pct"/>
          </w:tcPr>
          <w:p w14:paraId="6C61A56A" w14:textId="77777777" w:rsidR="00337EF0" w:rsidRPr="00F77438" w:rsidRDefault="00337EF0" w:rsidP="003A39E4">
            <w:pPr>
              <w:ind w:right="-64"/>
              <w:jc w:val="center"/>
              <w:rPr>
                <w:rFonts w:cs="Times New Roman"/>
                <w:sz w:val="18"/>
                <w:szCs w:val="18"/>
              </w:rPr>
            </w:pPr>
            <w:r w:rsidRPr="00F77438">
              <w:rPr>
                <w:rFonts w:cs="Times New Roman"/>
                <w:sz w:val="18"/>
                <w:szCs w:val="18"/>
              </w:rPr>
              <w:t>*Up to £25,000</w:t>
            </w:r>
          </w:p>
          <w:p w14:paraId="7913B836" w14:textId="77777777" w:rsidR="00337EF0" w:rsidRPr="00F77438" w:rsidRDefault="00337EF0" w:rsidP="003A39E4">
            <w:pPr>
              <w:ind w:right="-64"/>
              <w:rPr>
                <w:rFonts w:cs="Times New Roman"/>
                <w:sz w:val="18"/>
                <w:szCs w:val="18"/>
              </w:rPr>
            </w:pPr>
            <w:r w:rsidRPr="00F77438">
              <w:rPr>
                <w:rFonts w:cs="Times New Roman"/>
                <w:sz w:val="18"/>
                <w:szCs w:val="18"/>
              </w:rPr>
              <w:t>(with consideration to the total emoluments the individual has received during their connection to the firm)</w:t>
            </w:r>
          </w:p>
        </w:tc>
        <w:tc>
          <w:tcPr>
            <w:tcW w:w="1280" w:type="pct"/>
          </w:tcPr>
          <w:p w14:paraId="048EE555" w14:textId="77777777" w:rsidR="00337EF0" w:rsidRDefault="00337EF0" w:rsidP="003A39E4">
            <w:pPr>
              <w:ind w:right="-455"/>
              <w:jc w:val="center"/>
              <w:rPr>
                <w:rFonts w:cs="Times New Roman"/>
                <w:sz w:val="18"/>
                <w:szCs w:val="18"/>
              </w:rPr>
            </w:pPr>
            <w:r>
              <w:rPr>
                <w:rFonts w:cs="Times New Roman"/>
                <w:sz w:val="18"/>
                <w:szCs w:val="18"/>
              </w:rPr>
              <w:t xml:space="preserve">Up to </w:t>
            </w:r>
            <w:r w:rsidRPr="007A42EB">
              <w:rPr>
                <w:rFonts w:cs="Times New Roman"/>
                <w:sz w:val="18"/>
                <w:szCs w:val="18"/>
              </w:rPr>
              <w:t>£100,000</w:t>
            </w:r>
          </w:p>
          <w:p w14:paraId="7900AF23" w14:textId="77777777" w:rsidR="00337EF0" w:rsidRPr="007A42EB" w:rsidRDefault="00337EF0" w:rsidP="003A39E4">
            <w:pPr>
              <w:ind w:right="-455"/>
              <w:rPr>
                <w:rFonts w:cs="Times New Roman"/>
                <w:sz w:val="18"/>
                <w:szCs w:val="18"/>
              </w:rPr>
            </w:pPr>
            <w:r w:rsidRPr="007A42EB">
              <w:rPr>
                <w:rFonts w:cs="Times New Roman"/>
                <w:sz w:val="18"/>
                <w:szCs w:val="18"/>
              </w:rPr>
              <w:t>(with consideration to the total emoluments the individual has received during their connection to the firm)</w:t>
            </w:r>
          </w:p>
        </w:tc>
        <w:tc>
          <w:tcPr>
            <w:tcW w:w="1166" w:type="pct"/>
          </w:tcPr>
          <w:p w14:paraId="2A4BD9F0" w14:textId="77777777" w:rsidR="00337EF0" w:rsidRDefault="00337EF0" w:rsidP="003A39E4">
            <w:pPr>
              <w:ind w:right="-42"/>
              <w:jc w:val="center"/>
              <w:rPr>
                <w:rFonts w:cs="Times New Roman"/>
                <w:sz w:val="18"/>
                <w:szCs w:val="18"/>
              </w:rPr>
            </w:pPr>
            <w:r>
              <w:rPr>
                <w:rFonts w:cs="Times New Roman"/>
                <w:sz w:val="18"/>
                <w:szCs w:val="18"/>
              </w:rPr>
              <w:t>Up to</w:t>
            </w:r>
            <w:r w:rsidRPr="007A42EB">
              <w:rPr>
                <w:rFonts w:cs="Times New Roman"/>
                <w:sz w:val="18"/>
                <w:szCs w:val="18"/>
              </w:rPr>
              <w:t xml:space="preserve"> £250,000</w:t>
            </w:r>
          </w:p>
          <w:p w14:paraId="3AF4885B" w14:textId="77777777" w:rsidR="00337EF0" w:rsidRPr="007A42EB" w:rsidRDefault="00337EF0" w:rsidP="003A39E4">
            <w:pPr>
              <w:ind w:right="-42"/>
              <w:rPr>
                <w:rFonts w:cs="Times New Roman"/>
                <w:sz w:val="18"/>
                <w:szCs w:val="18"/>
              </w:rPr>
            </w:pPr>
            <w:r w:rsidRPr="007A42EB">
              <w:rPr>
                <w:rFonts w:cs="Times New Roman"/>
                <w:sz w:val="18"/>
                <w:szCs w:val="18"/>
              </w:rPr>
              <w:t>(with consideration to the total emoluments the individual has received during their connection to the firm)</w:t>
            </w:r>
          </w:p>
        </w:tc>
        <w:tc>
          <w:tcPr>
            <w:tcW w:w="1359" w:type="pct"/>
          </w:tcPr>
          <w:p w14:paraId="521FDF6D" w14:textId="77777777" w:rsidR="00337EF0" w:rsidRPr="007A42EB" w:rsidRDefault="00337EF0" w:rsidP="003A39E4">
            <w:pPr>
              <w:ind w:right="-455"/>
              <w:jc w:val="center"/>
              <w:rPr>
                <w:rFonts w:cs="Times New Roman"/>
                <w:sz w:val="18"/>
                <w:szCs w:val="18"/>
              </w:rPr>
            </w:pPr>
            <w:r>
              <w:rPr>
                <w:rFonts w:cs="Times New Roman"/>
                <w:sz w:val="18"/>
                <w:szCs w:val="18"/>
              </w:rPr>
              <w:t>Up to £</w:t>
            </w:r>
            <w:r w:rsidRPr="007A42EB">
              <w:rPr>
                <w:rFonts w:cs="Times New Roman"/>
                <w:sz w:val="18"/>
                <w:szCs w:val="18"/>
              </w:rPr>
              <w:t>400,000</w:t>
            </w:r>
          </w:p>
          <w:p w14:paraId="2BCB46AB" w14:textId="77777777" w:rsidR="00337EF0" w:rsidRPr="007A42EB" w:rsidRDefault="00337EF0" w:rsidP="003A39E4">
            <w:pPr>
              <w:ind w:right="-32"/>
              <w:rPr>
                <w:rFonts w:cs="Times New Roman"/>
                <w:sz w:val="18"/>
                <w:szCs w:val="18"/>
              </w:rPr>
            </w:pPr>
            <w:r w:rsidRPr="007A42EB">
              <w:rPr>
                <w:rFonts w:cs="Times New Roman"/>
                <w:sz w:val="18"/>
                <w:szCs w:val="18"/>
              </w:rPr>
              <w:t>(with consideration to the total emoluments the individual has received during their connection to the firm)</w:t>
            </w:r>
          </w:p>
        </w:tc>
      </w:tr>
      <w:tr w:rsidR="00337EF0" w:rsidRPr="007A42EB" w14:paraId="2626B1C4" w14:textId="77777777" w:rsidTr="0021293B">
        <w:tc>
          <w:tcPr>
            <w:tcW w:w="5000" w:type="pct"/>
            <w:gridSpan w:val="4"/>
            <w:shd w:val="clear" w:color="auto" w:fill="943634" w:themeFill="accent2" w:themeFillShade="BF"/>
          </w:tcPr>
          <w:p w14:paraId="5C6F854A" w14:textId="77777777" w:rsidR="00337EF0" w:rsidRPr="007A42EB" w:rsidRDefault="00337EF0" w:rsidP="003A39E4">
            <w:pPr>
              <w:ind w:right="-455"/>
              <w:rPr>
                <w:rFonts w:cs="Times New Roman"/>
                <w:b/>
                <w:color w:val="FFFFFF" w:themeColor="background1"/>
                <w:sz w:val="18"/>
                <w:szCs w:val="18"/>
              </w:rPr>
            </w:pPr>
            <w:r w:rsidRPr="007A42EB">
              <w:rPr>
                <w:rFonts w:cs="Times New Roman"/>
                <w:b/>
                <w:color w:val="FFFFFF" w:themeColor="background1"/>
                <w:sz w:val="18"/>
                <w:szCs w:val="18"/>
              </w:rPr>
              <w:t>Characteristics</w:t>
            </w:r>
          </w:p>
          <w:p w14:paraId="3D594E89" w14:textId="77777777" w:rsidR="00337EF0" w:rsidRPr="007A42EB" w:rsidRDefault="00337EF0" w:rsidP="003A39E4">
            <w:pPr>
              <w:ind w:right="-455"/>
              <w:rPr>
                <w:rFonts w:cs="Times New Roman"/>
                <w:b/>
                <w:color w:val="FFFFFF" w:themeColor="background1"/>
                <w:sz w:val="18"/>
                <w:szCs w:val="18"/>
              </w:rPr>
            </w:pPr>
          </w:p>
        </w:tc>
      </w:tr>
      <w:tr w:rsidR="00337EF0" w:rsidRPr="007A42EB" w14:paraId="76EA1DCC" w14:textId="77777777" w:rsidTr="0021293B">
        <w:tc>
          <w:tcPr>
            <w:tcW w:w="1195" w:type="pct"/>
          </w:tcPr>
          <w:p w14:paraId="357E776F" w14:textId="77777777" w:rsidR="00337EF0" w:rsidRPr="007A42EB" w:rsidRDefault="00337EF0" w:rsidP="003A39E4">
            <w:pPr>
              <w:ind w:right="-64"/>
              <w:rPr>
                <w:rFonts w:cs="Times New Roman"/>
                <w:sz w:val="18"/>
                <w:szCs w:val="18"/>
              </w:rPr>
            </w:pPr>
            <w:r w:rsidRPr="007A42EB">
              <w:rPr>
                <w:rFonts w:cs="Times New Roman"/>
                <w:sz w:val="18"/>
                <w:szCs w:val="18"/>
              </w:rPr>
              <w:t>Small number of regulatory failings</w:t>
            </w:r>
            <w:r>
              <w:rPr>
                <w:rFonts w:cs="Times New Roman"/>
                <w:sz w:val="18"/>
                <w:szCs w:val="18"/>
              </w:rPr>
              <w:t>, none of which are serious in nature.</w:t>
            </w:r>
          </w:p>
        </w:tc>
        <w:tc>
          <w:tcPr>
            <w:tcW w:w="1280" w:type="pct"/>
          </w:tcPr>
          <w:p w14:paraId="4FB89EE3" w14:textId="77777777" w:rsidR="00337EF0" w:rsidRPr="007A42EB" w:rsidRDefault="00337EF0" w:rsidP="003A39E4">
            <w:pPr>
              <w:ind w:right="-53"/>
              <w:rPr>
                <w:rFonts w:cs="Times New Roman"/>
                <w:sz w:val="18"/>
                <w:szCs w:val="18"/>
              </w:rPr>
            </w:pPr>
            <w:r w:rsidRPr="007A42EB">
              <w:rPr>
                <w:rFonts w:cs="Times New Roman"/>
                <w:sz w:val="18"/>
                <w:szCs w:val="18"/>
              </w:rPr>
              <w:t>Several regulatory failings</w:t>
            </w:r>
            <w:r>
              <w:rPr>
                <w:rFonts w:cs="Times New Roman"/>
                <w:sz w:val="18"/>
                <w:szCs w:val="18"/>
              </w:rPr>
              <w:t>, which may or may not be serious in nature.</w:t>
            </w:r>
          </w:p>
        </w:tc>
        <w:tc>
          <w:tcPr>
            <w:tcW w:w="1166" w:type="pct"/>
          </w:tcPr>
          <w:p w14:paraId="78B441D4" w14:textId="77777777" w:rsidR="00337EF0" w:rsidRPr="007A42EB" w:rsidRDefault="00337EF0" w:rsidP="003A39E4">
            <w:pPr>
              <w:ind w:right="-42"/>
              <w:rPr>
                <w:rFonts w:cs="Times New Roman"/>
                <w:sz w:val="18"/>
                <w:szCs w:val="18"/>
              </w:rPr>
            </w:pPr>
            <w:r w:rsidRPr="007A42EB">
              <w:rPr>
                <w:rFonts w:cs="Times New Roman"/>
                <w:sz w:val="18"/>
                <w:szCs w:val="18"/>
              </w:rPr>
              <w:t>Significant failings but not systemic</w:t>
            </w:r>
            <w:r>
              <w:rPr>
                <w:rFonts w:cs="Times New Roman"/>
                <w:sz w:val="18"/>
                <w:szCs w:val="18"/>
              </w:rPr>
              <w:t>, which may or may not be serious in nature.</w:t>
            </w:r>
          </w:p>
        </w:tc>
        <w:tc>
          <w:tcPr>
            <w:tcW w:w="1359" w:type="pct"/>
          </w:tcPr>
          <w:p w14:paraId="364E5A47" w14:textId="77777777" w:rsidR="00337EF0" w:rsidRPr="007A42EB" w:rsidRDefault="00337EF0" w:rsidP="003A39E4">
            <w:pPr>
              <w:ind w:right="-32"/>
              <w:rPr>
                <w:rFonts w:cs="Times New Roman"/>
                <w:sz w:val="18"/>
                <w:szCs w:val="18"/>
              </w:rPr>
            </w:pPr>
            <w:r w:rsidRPr="007A42EB">
              <w:rPr>
                <w:rFonts w:cs="Times New Roman"/>
                <w:sz w:val="18"/>
                <w:szCs w:val="18"/>
              </w:rPr>
              <w:t>Systemic failings</w:t>
            </w:r>
            <w:r>
              <w:rPr>
                <w:rFonts w:cs="Times New Roman"/>
                <w:sz w:val="18"/>
                <w:szCs w:val="18"/>
              </w:rPr>
              <w:t>, which may or may not be serious in nature.</w:t>
            </w:r>
          </w:p>
        </w:tc>
      </w:tr>
      <w:tr w:rsidR="00337EF0" w:rsidRPr="007A42EB" w14:paraId="222ED240" w14:textId="77777777" w:rsidTr="0021293B">
        <w:tc>
          <w:tcPr>
            <w:tcW w:w="1195" w:type="pct"/>
          </w:tcPr>
          <w:p w14:paraId="0E860A4E" w14:textId="77777777" w:rsidR="00337EF0" w:rsidRPr="007A42EB" w:rsidRDefault="00337EF0" w:rsidP="003A39E4">
            <w:pPr>
              <w:ind w:right="-64"/>
              <w:rPr>
                <w:rFonts w:cs="Times New Roman"/>
                <w:sz w:val="18"/>
                <w:szCs w:val="18"/>
              </w:rPr>
            </w:pPr>
            <w:r w:rsidRPr="007A42EB">
              <w:rPr>
                <w:rFonts w:cs="Times New Roman"/>
                <w:sz w:val="18"/>
                <w:szCs w:val="18"/>
              </w:rPr>
              <w:t>Licensee was open and co-operative with the Commission</w:t>
            </w:r>
          </w:p>
        </w:tc>
        <w:tc>
          <w:tcPr>
            <w:tcW w:w="1280" w:type="pct"/>
          </w:tcPr>
          <w:p w14:paraId="47461B17" w14:textId="77777777" w:rsidR="00337EF0" w:rsidRPr="007A42EB" w:rsidRDefault="00337EF0" w:rsidP="003A39E4">
            <w:pPr>
              <w:ind w:right="-53"/>
              <w:rPr>
                <w:rFonts w:cs="Times New Roman"/>
                <w:sz w:val="18"/>
                <w:szCs w:val="18"/>
              </w:rPr>
            </w:pPr>
            <w:r w:rsidRPr="007A42EB">
              <w:rPr>
                <w:rFonts w:cs="Times New Roman"/>
                <w:sz w:val="18"/>
                <w:szCs w:val="18"/>
              </w:rPr>
              <w:t>Risk of loss to clients of the licensee</w:t>
            </w:r>
          </w:p>
        </w:tc>
        <w:tc>
          <w:tcPr>
            <w:tcW w:w="1166" w:type="pct"/>
          </w:tcPr>
          <w:p w14:paraId="678A2981" w14:textId="77777777" w:rsidR="00337EF0" w:rsidRPr="007A42EB" w:rsidRDefault="00337EF0" w:rsidP="003A39E4">
            <w:pPr>
              <w:ind w:right="-42"/>
              <w:rPr>
                <w:rFonts w:cs="Times New Roman"/>
                <w:sz w:val="18"/>
                <w:szCs w:val="18"/>
              </w:rPr>
            </w:pPr>
            <w:r>
              <w:rPr>
                <w:rFonts w:cs="Times New Roman"/>
                <w:sz w:val="18"/>
                <w:szCs w:val="18"/>
              </w:rPr>
              <w:t xml:space="preserve">Risk of </w:t>
            </w:r>
            <w:r w:rsidRPr="007A42EB">
              <w:rPr>
                <w:rFonts w:cs="Times New Roman"/>
                <w:sz w:val="18"/>
                <w:szCs w:val="18"/>
              </w:rPr>
              <w:t>loss to clients of the licensee</w:t>
            </w:r>
          </w:p>
        </w:tc>
        <w:tc>
          <w:tcPr>
            <w:tcW w:w="1359" w:type="pct"/>
          </w:tcPr>
          <w:p w14:paraId="3A672623" w14:textId="77777777" w:rsidR="00337EF0" w:rsidRPr="007A42EB" w:rsidRDefault="00337EF0" w:rsidP="003A39E4">
            <w:pPr>
              <w:ind w:right="-32"/>
              <w:rPr>
                <w:rFonts w:cs="Times New Roman"/>
                <w:sz w:val="18"/>
                <w:szCs w:val="18"/>
              </w:rPr>
            </w:pPr>
            <w:r w:rsidRPr="007A42EB">
              <w:rPr>
                <w:rFonts w:cs="Times New Roman"/>
                <w:sz w:val="18"/>
                <w:szCs w:val="18"/>
              </w:rPr>
              <w:t>Significant risk of loss to clients or actual loss to clients</w:t>
            </w:r>
          </w:p>
        </w:tc>
      </w:tr>
      <w:tr w:rsidR="00337EF0" w:rsidRPr="007A42EB" w14:paraId="6EE7AE99" w14:textId="77777777" w:rsidTr="0021293B">
        <w:tc>
          <w:tcPr>
            <w:tcW w:w="1195" w:type="pct"/>
          </w:tcPr>
          <w:p w14:paraId="7944AA4D" w14:textId="77777777" w:rsidR="00337EF0" w:rsidRPr="007A42EB" w:rsidRDefault="00337EF0" w:rsidP="003A39E4">
            <w:pPr>
              <w:ind w:right="-64"/>
              <w:rPr>
                <w:rFonts w:cs="Times New Roman"/>
                <w:sz w:val="18"/>
                <w:szCs w:val="18"/>
              </w:rPr>
            </w:pPr>
            <w:r w:rsidRPr="007A42EB">
              <w:rPr>
                <w:rFonts w:cs="Times New Roman"/>
                <w:sz w:val="18"/>
                <w:szCs w:val="18"/>
              </w:rPr>
              <w:t>Small risk of financial crime or being used to facilitate financial crime</w:t>
            </w:r>
          </w:p>
        </w:tc>
        <w:tc>
          <w:tcPr>
            <w:tcW w:w="1280" w:type="pct"/>
          </w:tcPr>
          <w:p w14:paraId="5A464FFF" w14:textId="77777777" w:rsidR="00337EF0" w:rsidRPr="007A42EB" w:rsidRDefault="00337EF0" w:rsidP="003A39E4">
            <w:pPr>
              <w:ind w:right="-53"/>
              <w:rPr>
                <w:rFonts w:cs="Times New Roman"/>
                <w:sz w:val="18"/>
                <w:szCs w:val="18"/>
              </w:rPr>
            </w:pPr>
            <w:r w:rsidRPr="007A42EB">
              <w:rPr>
                <w:rFonts w:cs="Times New Roman"/>
                <w:sz w:val="18"/>
                <w:szCs w:val="18"/>
              </w:rPr>
              <w:t>Risk to the reputation of the Bailiwick</w:t>
            </w:r>
          </w:p>
        </w:tc>
        <w:tc>
          <w:tcPr>
            <w:tcW w:w="1166" w:type="pct"/>
          </w:tcPr>
          <w:p w14:paraId="5677C593" w14:textId="77777777" w:rsidR="00337EF0" w:rsidRPr="007A42EB" w:rsidRDefault="00337EF0" w:rsidP="003A39E4">
            <w:pPr>
              <w:ind w:right="-42"/>
              <w:rPr>
                <w:rFonts w:cs="Times New Roman"/>
                <w:sz w:val="18"/>
                <w:szCs w:val="18"/>
              </w:rPr>
            </w:pPr>
            <w:r w:rsidRPr="007A42EB">
              <w:rPr>
                <w:rFonts w:cs="Times New Roman"/>
                <w:sz w:val="18"/>
                <w:szCs w:val="18"/>
              </w:rPr>
              <w:t>Significant risk to the reputation of the Bailiwick</w:t>
            </w:r>
          </w:p>
        </w:tc>
        <w:tc>
          <w:tcPr>
            <w:tcW w:w="1359" w:type="pct"/>
          </w:tcPr>
          <w:p w14:paraId="4BE36D5F" w14:textId="77777777" w:rsidR="00337EF0" w:rsidRPr="007A42EB" w:rsidRDefault="00337EF0" w:rsidP="003A39E4">
            <w:pPr>
              <w:ind w:right="-32"/>
              <w:rPr>
                <w:rFonts w:cs="Times New Roman"/>
                <w:sz w:val="18"/>
                <w:szCs w:val="18"/>
              </w:rPr>
            </w:pPr>
            <w:r w:rsidRPr="007A42EB">
              <w:rPr>
                <w:rFonts w:cs="Times New Roman"/>
                <w:sz w:val="18"/>
                <w:szCs w:val="18"/>
              </w:rPr>
              <w:t>Significant risk to the reputation of the Bailiwick</w:t>
            </w:r>
          </w:p>
        </w:tc>
      </w:tr>
      <w:tr w:rsidR="00337EF0" w:rsidRPr="007A42EB" w14:paraId="63CCC642" w14:textId="77777777" w:rsidTr="0021293B">
        <w:tc>
          <w:tcPr>
            <w:tcW w:w="1195" w:type="pct"/>
          </w:tcPr>
          <w:p w14:paraId="492222A9" w14:textId="77777777" w:rsidR="00337EF0" w:rsidRPr="007A42EB" w:rsidRDefault="00337EF0" w:rsidP="003A39E4">
            <w:pPr>
              <w:ind w:right="-64"/>
              <w:rPr>
                <w:rFonts w:cs="Times New Roman"/>
                <w:sz w:val="18"/>
                <w:szCs w:val="18"/>
              </w:rPr>
            </w:pPr>
            <w:r w:rsidRPr="007A42EB">
              <w:rPr>
                <w:rFonts w:cs="Times New Roman"/>
                <w:sz w:val="18"/>
                <w:szCs w:val="18"/>
              </w:rPr>
              <w:t>Licensee brought breaches to the Commission’s attention</w:t>
            </w:r>
          </w:p>
        </w:tc>
        <w:tc>
          <w:tcPr>
            <w:tcW w:w="1280" w:type="pct"/>
          </w:tcPr>
          <w:p w14:paraId="3D9889A2" w14:textId="77777777" w:rsidR="00337EF0" w:rsidRPr="007A42EB" w:rsidRDefault="00337EF0" w:rsidP="003A39E4">
            <w:pPr>
              <w:ind w:right="-53"/>
              <w:rPr>
                <w:rFonts w:cs="Times New Roman"/>
                <w:sz w:val="18"/>
                <w:szCs w:val="18"/>
              </w:rPr>
            </w:pPr>
            <w:r w:rsidRPr="007A42EB">
              <w:rPr>
                <w:rFonts w:cs="Times New Roman"/>
                <w:sz w:val="18"/>
                <w:szCs w:val="18"/>
              </w:rPr>
              <w:t>Licensee was open and co-operative with the Commission</w:t>
            </w:r>
          </w:p>
        </w:tc>
        <w:tc>
          <w:tcPr>
            <w:tcW w:w="1166" w:type="pct"/>
          </w:tcPr>
          <w:p w14:paraId="1FE4D655" w14:textId="77777777" w:rsidR="00337EF0" w:rsidRPr="007A42EB" w:rsidRDefault="00337EF0" w:rsidP="003A39E4">
            <w:pPr>
              <w:ind w:right="-42"/>
              <w:rPr>
                <w:rFonts w:cs="Times New Roman"/>
                <w:sz w:val="18"/>
                <w:szCs w:val="18"/>
              </w:rPr>
            </w:pPr>
            <w:r w:rsidRPr="007A42EB">
              <w:rPr>
                <w:rFonts w:cs="Times New Roman"/>
                <w:sz w:val="18"/>
                <w:szCs w:val="18"/>
              </w:rPr>
              <w:t>Licensee was not open and co-operative with the Commission</w:t>
            </w:r>
          </w:p>
        </w:tc>
        <w:tc>
          <w:tcPr>
            <w:tcW w:w="1359" w:type="pct"/>
          </w:tcPr>
          <w:p w14:paraId="28FF437C" w14:textId="77777777" w:rsidR="00337EF0" w:rsidRPr="007A42EB" w:rsidRDefault="00337EF0" w:rsidP="003A39E4">
            <w:pPr>
              <w:ind w:right="-32"/>
              <w:rPr>
                <w:rFonts w:cs="Times New Roman"/>
                <w:sz w:val="18"/>
                <w:szCs w:val="18"/>
              </w:rPr>
            </w:pPr>
            <w:r w:rsidRPr="007A42EB">
              <w:rPr>
                <w:rFonts w:cs="Times New Roman"/>
                <w:sz w:val="18"/>
                <w:szCs w:val="18"/>
              </w:rPr>
              <w:t>Licensee was not open and co-operative with the Commission</w:t>
            </w:r>
          </w:p>
        </w:tc>
      </w:tr>
      <w:tr w:rsidR="00337EF0" w:rsidRPr="007A42EB" w14:paraId="308B2AB1" w14:textId="77777777" w:rsidTr="0021293B">
        <w:tc>
          <w:tcPr>
            <w:tcW w:w="1195" w:type="pct"/>
          </w:tcPr>
          <w:p w14:paraId="41DEC67E" w14:textId="77777777" w:rsidR="00337EF0" w:rsidRPr="007A42EB" w:rsidRDefault="00337EF0" w:rsidP="003A39E4">
            <w:pPr>
              <w:ind w:right="-64"/>
              <w:rPr>
                <w:rFonts w:cs="Times New Roman"/>
                <w:sz w:val="18"/>
                <w:szCs w:val="18"/>
              </w:rPr>
            </w:pPr>
            <w:r w:rsidRPr="007A42EB">
              <w:rPr>
                <w:rFonts w:cs="Times New Roman"/>
                <w:sz w:val="18"/>
                <w:szCs w:val="18"/>
              </w:rPr>
              <w:t>Steps taken to rectify breach(</w:t>
            </w:r>
            <w:proofErr w:type="spellStart"/>
            <w:r w:rsidRPr="007A42EB">
              <w:rPr>
                <w:rFonts w:cs="Times New Roman"/>
                <w:sz w:val="18"/>
                <w:szCs w:val="18"/>
              </w:rPr>
              <w:t>es</w:t>
            </w:r>
            <w:proofErr w:type="spellEnd"/>
            <w:r w:rsidRPr="007A42EB">
              <w:rPr>
                <w:rFonts w:cs="Times New Roman"/>
                <w:sz w:val="18"/>
                <w:szCs w:val="18"/>
              </w:rPr>
              <w:t>) and prevent recurrence</w:t>
            </w:r>
          </w:p>
        </w:tc>
        <w:tc>
          <w:tcPr>
            <w:tcW w:w="1280" w:type="pct"/>
          </w:tcPr>
          <w:p w14:paraId="1A71948F" w14:textId="77777777" w:rsidR="00337EF0" w:rsidRPr="007A42EB" w:rsidRDefault="00337EF0" w:rsidP="003A39E4">
            <w:pPr>
              <w:ind w:right="-53"/>
              <w:rPr>
                <w:rFonts w:cs="Times New Roman"/>
                <w:sz w:val="18"/>
                <w:szCs w:val="18"/>
              </w:rPr>
            </w:pPr>
            <w:r w:rsidRPr="007A42EB">
              <w:rPr>
                <w:rFonts w:cs="Times New Roman"/>
                <w:sz w:val="18"/>
                <w:szCs w:val="18"/>
              </w:rPr>
              <w:t>Risk of financial crime or being used to facilitate financial crime</w:t>
            </w:r>
          </w:p>
        </w:tc>
        <w:tc>
          <w:tcPr>
            <w:tcW w:w="1166" w:type="pct"/>
          </w:tcPr>
          <w:p w14:paraId="125D020D" w14:textId="77777777" w:rsidR="00337EF0" w:rsidRPr="007A42EB" w:rsidRDefault="00337EF0" w:rsidP="003A39E4">
            <w:pPr>
              <w:ind w:right="-42"/>
              <w:rPr>
                <w:rFonts w:cs="Times New Roman"/>
                <w:sz w:val="18"/>
                <w:szCs w:val="18"/>
              </w:rPr>
            </w:pPr>
            <w:r w:rsidRPr="007A42EB">
              <w:rPr>
                <w:rFonts w:cs="Times New Roman"/>
                <w:sz w:val="18"/>
                <w:szCs w:val="18"/>
              </w:rPr>
              <w:t>Significant risk of financial crime or being used to facilitate financial crime</w:t>
            </w:r>
          </w:p>
        </w:tc>
        <w:tc>
          <w:tcPr>
            <w:tcW w:w="1359" w:type="pct"/>
          </w:tcPr>
          <w:p w14:paraId="152466DF" w14:textId="77777777" w:rsidR="00337EF0" w:rsidRPr="007A42EB" w:rsidRDefault="00337EF0" w:rsidP="003A39E4">
            <w:pPr>
              <w:ind w:right="-32"/>
              <w:rPr>
                <w:rFonts w:cs="Times New Roman"/>
                <w:sz w:val="18"/>
                <w:szCs w:val="18"/>
              </w:rPr>
            </w:pPr>
            <w:r w:rsidRPr="007A42EB">
              <w:rPr>
                <w:rFonts w:cs="Times New Roman"/>
                <w:sz w:val="18"/>
                <w:szCs w:val="18"/>
              </w:rPr>
              <w:t>Financial crime committed or licensee used to facilitate financial crime</w:t>
            </w:r>
          </w:p>
        </w:tc>
      </w:tr>
      <w:tr w:rsidR="00337EF0" w:rsidRPr="007A42EB" w14:paraId="333FAAF9" w14:textId="77777777" w:rsidTr="0021293B">
        <w:tc>
          <w:tcPr>
            <w:tcW w:w="1195" w:type="pct"/>
          </w:tcPr>
          <w:p w14:paraId="65F18C2F" w14:textId="77777777" w:rsidR="00337EF0" w:rsidRPr="007A42EB" w:rsidRDefault="00337EF0" w:rsidP="003A39E4">
            <w:pPr>
              <w:ind w:right="-64"/>
              <w:jc w:val="center"/>
              <w:rPr>
                <w:rFonts w:cs="Times New Roman"/>
                <w:sz w:val="18"/>
                <w:szCs w:val="18"/>
              </w:rPr>
            </w:pPr>
          </w:p>
        </w:tc>
        <w:tc>
          <w:tcPr>
            <w:tcW w:w="1280" w:type="pct"/>
          </w:tcPr>
          <w:p w14:paraId="7E9BD6A4" w14:textId="77777777" w:rsidR="00337EF0" w:rsidRPr="007A42EB" w:rsidRDefault="00337EF0" w:rsidP="003A39E4">
            <w:pPr>
              <w:ind w:right="-53"/>
              <w:rPr>
                <w:rFonts w:cs="Times New Roman"/>
                <w:sz w:val="18"/>
                <w:szCs w:val="18"/>
              </w:rPr>
            </w:pPr>
            <w:r w:rsidRPr="007A42EB">
              <w:rPr>
                <w:rFonts w:cs="Times New Roman"/>
                <w:sz w:val="18"/>
                <w:szCs w:val="18"/>
              </w:rPr>
              <w:t>Licensee acknowledged, straight away, or within a short time, breaches when brought to their attention</w:t>
            </w:r>
          </w:p>
        </w:tc>
        <w:tc>
          <w:tcPr>
            <w:tcW w:w="1166" w:type="pct"/>
          </w:tcPr>
          <w:p w14:paraId="3B863D2D" w14:textId="77777777" w:rsidR="00337EF0" w:rsidRPr="007A42EB" w:rsidRDefault="00337EF0" w:rsidP="003A39E4">
            <w:pPr>
              <w:ind w:right="-42"/>
              <w:rPr>
                <w:rFonts w:cs="Times New Roman"/>
                <w:sz w:val="18"/>
                <w:szCs w:val="18"/>
              </w:rPr>
            </w:pPr>
            <w:r w:rsidRPr="007A42EB">
              <w:rPr>
                <w:rFonts w:cs="Times New Roman"/>
                <w:sz w:val="18"/>
                <w:szCs w:val="18"/>
              </w:rPr>
              <w:t>Licensee failed to acknowledge breaches</w:t>
            </w:r>
          </w:p>
        </w:tc>
        <w:tc>
          <w:tcPr>
            <w:tcW w:w="1359" w:type="pct"/>
          </w:tcPr>
          <w:p w14:paraId="27E5BAE5" w14:textId="77777777" w:rsidR="00337EF0" w:rsidRPr="007A42EB" w:rsidRDefault="00337EF0" w:rsidP="003A39E4">
            <w:pPr>
              <w:ind w:right="-32"/>
              <w:rPr>
                <w:rFonts w:cs="Times New Roman"/>
                <w:sz w:val="18"/>
                <w:szCs w:val="18"/>
              </w:rPr>
            </w:pPr>
            <w:r w:rsidRPr="007A42EB">
              <w:rPr>
                <w:rFonts w:cs="Times New Roman"/>
                <w:sz w:val="18"/>
                <w:szCs w:val="18"/>
              </w:rPr>
              <w:t>Licensee deliberately withheld the breaches from the Commission in order to either obtain a benefit or mitigate a loss</w:t>
            </w:r>
          </w:p>
        </w:tc>
      </w:tr>
      <w:tr w:rsidR="00337EF0" w:rsidRPr="007A42EB" w14:paraId="795AEFF5" w14:textId="77777777" w:rsidTr="0021293B">
        <w:tc>
          <w:tcPr>
            <w:tcW w:w="1195" w:type="pct"/>
          </w:tcPr>
          <w:p w14:paraId="2C8EECBF" w14:textId="77777777" w:rsidR="00337EF0" w:rsidRPr="007A42EB" w:rsidRDefault="00337EF0" w:rsidP="003A39E4">
            <w:pPr>
              <w:ind w:right="-64"/>
              <w:jc w:val="center"/>
              <w:rPr>
                <w:rFonts w:cs="Times New Roman"/>
                <w:sz w:val="18"/>
                <w:szCs w:val="18"/>
              </w:rPr>
            </w:pPr>
          </w:p>
        </w:tc>
        <w:tc>
          <w:tcPr>
            <w:tcW w:w="1280" w:type="pct"/>
          </w:tcPr>
          <w:p w14:paraId="021D3082" w14:textId="77777777" w:rsidR="00337EF0" w:rsidRPr="007A42EB" w:rsidRDefault="00337EF0" w:rsidP="003A39E4">
            <w:pPr>
              <w:ind w:right="-53"/>
              <w:rPr>
                <w:rFonts w:cs="Times New Roman"/>
                <w:sz w:val="18"/>
                <w:szCs w:val="18"/>
              </w:rPr>
            </w:pPr>
            <w:r w:rsidRPr="007A42EB">
              <w:rPr>
                <w:rFonts w:cs="Times New Roman"/>
                <w:sz w:val="18"/>
                <w:szCs w:val="18"/>
              </w:rPr>
              <w:t>Steps taken to rectify breach(</w:t>
            </w:r>
            <w:proofErr w:type="spellStart"/>
            <w:r w:rsidRPr="007A42EB">
              <w:rPr>
                <w:rFonts w:cs="Times New Roman"/>
                <w:sz w:val="18"/>
                <w:szCs w:val="18"/>
              </w:rPr>
              <w:t>es</w:t>
            </w:r>
            <w:proofErr w:type="spellEnd"/>
            <w:r w:rsidRPr="007A42EB">
              <w:rPr>
                <w:rFonts w:cs="Times New Roman"/>
                <w:sz w:val="18"/>
                <w:szCs w:val="18"/>
              </w:rPr>
              <w:t>) and prevent recurrence but insufficient</w:t>
            </w:r>
          </w:p>
        </w:tc>
        <w:tc>
          <w:tcPr>
            <w:tcW w:w="1166" w:type="pct"/>
          </w:tcPr>
          <w:p w14:paraId="34DAABE4" w14:textId="77777777" w:rsidR="00337EF0" w:rsidRPr="007A42EB" w:rsidRDefault="00337EF0" w:rsidP="003A39E4">
            <w:pPr>
              <w:ind w:right="-42"/>
              <w:rPr>
                <w:rFonts w:cs="Times New Roman"/>
                <w:sz w:val="18"/>
                <w:szCs w:val="18"/>
              </w:rPr>
            </w:pPr>
            <w:r w:rsidRPr="007A42EB">
              <w:rPr>
                <w:rFonts w:cs="Times New Roman"/>
                <w:sz w:val="18"/>
                <w:szCs w:val="18"/>
              </w:rPr>
              <w:t>Few steps taken to rectify breach(</w:t>
            </w:r>
            <w:proofErr w:type="spellStart"/>
            <w:r w:rsidRPr="007A42EB">
              <w:rPr>
                <w:rFonts w:cs="Times New Roman"/>
                <w:sz w:val="18"/>
                <w:szCs w:val="18"/>
              </w:rPr>
              <w:t>es</w:t>
            </w:r>
            <w:proofErr w:type="spellEnd"/>
            <w:r w:rsidRPr="007A42EB">
              <w:rPr>
                <w:rFonts w:cs="Times New Roman"/>
                <w:sz w:val="18"/>
                <w:szCs w:val="18"/>
              </w:rPr>
              <w:t>) and prevent recurrence and steps insufficient</w:t>
            </w:r>
          </w:p>
        </w:tc>
        <w:tc>
          <w:tcPr>
            <w:tcW w:w="1359" w:type="pct"/>
          </w:tcPr>
          <w:p w14:paraId="44011A4E" w14:textId="77777777" w:rsidR="00337EF0" w:rsidRPr="007A42EB" w:rsidRDefault="00337EF0" w:rsidP="003A39E4">
            <w:pPr>
              <w:ind w:right="-32"/>
              <w:rPr>
                <w:rFonts w:cs="Times New Roman"/>
                <w:sz w:val="18"/>
                <w:szCs w:val="18"/>
              </w:rPr>
            </w:pPr>
            <w:r w:rsidRPr="007A42EB">
              <w:rPr>
                <w:rFonts w:cs="Times New Roman"/>
                <w:sz w:val="18"/>
                <w:szCs w:val="18"/>
              </w:rPr>
              <w:t>No steps taken to rectify breach(</w:t>
            </w:r>
            <w:proofErr w:type="spellStart"/>
            <w:r w:rsidRPr="007A42EB">
              <w:rPr>
                <w:rFonts w:cs="Times New Roman"/>
                <w:sz w:val="18"/>
                <w:szCs w:val="18"/>
              </w:rPr>
              <w:t>es</w:t>
            </w:r>
            <w:proofErr w:type="spellEnd"/>
            <w:r w:rsidRPr="007A42EB">
              <w:rPr>
                <w:rFonts w:cs="Times New Roman"/>
                <w:sz w:val="18"/>
                <w:szCs w:val="18"/>
              </w:rPr>
              <w:t>)</w:t>
            </w:r>
          </w:p>
        </w:tc>
      </w:tr>
      <w:tr w:rsidR="00337EF0" w:rsidRPr="007A42EB" w14:paraId="458E2D1E" w14:textId="77777777" w:rsidTr="0021293B">
        <w:tc>
          <w:tcPr>
            <w:tcW w:w="1195" w:type="pct"/>
          </w:tcPr>
          <w:p w14:paraId="30B4911A" w14:textId="77777777" w:rsidR="00337EF0" w:rsidRPr="007A42EB" w:rsidRDefault="00337EF0" w:rsidP="003A39E4">
            <w:pPr>
              <w:ind w:right="-64"/>
              <w:jc w:val="center"/>
              <w:rPr>
                <w:rFonts w:cs="Times New Roman"/>
                <w:sz w:val="18"/>
                <w:szCs w:val="18"/>
              </w:rPr>
            </w:pPr>
          </w:p>
        </w:tc>
        <w:tc>
          <w:tcPr>
            <w:tcW w:w="1280" w:type="pct"/>
          </w:tcPr>
          <w:p w14:paraId="1A2F591B" w14:textId="77777777" w:rsidR="00337EF0" w:rsidRPr="007A42EB" w:rsidRDefault="00337EF0" w:rsidP="003A39E4">
            <w:pPr>
              <w:ind w:right="-53"/>
              <w:rPr>
                <w:rFonts w:cs="Times New Roman"/>
                <w:sz w:val="18"/>
                <w:szCs w:val="18"/>
              </w:rPr>
            </w:pPr>
            <w:r w:rsidRPr="007A42EB">
              <w:rPr>
                <w:rFonts w:cs="Times New Roman"/>
                <w:sz w:val="18"/>
                <w:szCs w:val="18"/>
              </w:rPr>
              <w:t xml:space="preserve">Previous </w:t>
            </w:r>
            <w:r>
              <w:rPr>
                <w:rFonts w:cs="Times New Roman"/>
                <w:sz w:val="18"/>
                <w:szCs w:val="18"/>
              </w:rPr>
              <w:t xml:space="preserve">unconnected </w:t>
            </w:r>
            <w:r w:rsidRPr="007A42EB">
              <w:rPr>
                <w:rFonts w:cs="Times New Roman"/>
                <w:sz w:val="18"/>
                <w:szCs w:val="18"/>
              </w:rPr>
              <w:t>regulatory breaches</w:t>
            </w:r>
          </w:p>
        </w:tc>
        <w:tc>
          <w:tcPr>
            <w:tcW w:w="1166" w:type="pct"/>
          </w:tcPr>
          <w:p w14:paraId="257A1F4D" w14:textId="77777777" w:rsidR="00337EF0" w:rsidRPr="007A42EB" w:rsidRDefault="00337EF0" w:rsidP="003A39E4">
            <w:pPr>
              <w:ind w:right="-42"/>
              <w:rPr>
                <w:rFonts w:cs="Times New Roman"/>
                <w:sz w:val="18"/>
                <w:szCs w:val="18"/>
              </w:rPr>
            </w:pPr>
            <w:r w:rsidRPr="007A42EB">
              <w:rPr>
                <w:rFonts w:cs="Times New Roman"/>
                <w:sz w:val="18"/>
                <w:szCs w:val="18"/>
              </w:rPr>
              <w:t>Previous regulatory breaches</w:t>
            </w:r>
            <w:r>
              <w:rPr>
                <w:rFonts w:cs="Times New Roman"/>
                <w:sz w:val="18"/>
                <w:szCs w:val="18"/>
              </w:rPr>
              <w:t xml:space="preserve"> which may or may not be connected</w:t>
            </w:r>
          </w:p>
        </w:tc>
        <w:tc>
          <w:tcPr>
            <w:tcW w:w="1359" w:type="pct"/>
          </w:tcPr>
          <w:p w14:paraId="590F932E" w14:textId="77777777" w:rsidR="00337EF0" w:rsidRPr="007A42EB" w:rsidRDefault="00337EF0" w:rsidP="003A39E4">
            <w:pPr>
              <w:ind w:right="-32"/>
              <w:rPr>
                <w:rFonts w:cs="Times New Roman"/>
                <w:sz w:val="18"/>
                <w:szCs w:val="18"/>
              </w:rPr>
            </w:pPr>
            <w:r w:rsidRPr="007A42EB">
              <w:rPr>
                <w:rFonts w:cs="Times New Roman"/>
                <w:sz w:val="18"/>
                <w:szCs w:val="18"/>
              </w:rPr>
              <w:t>Poor regulatory history</w:t>
            </w:r>
            <w:r>
              <w:rPr>
                <w:rFonts w:cs="Times New Roman"/>
                <w:sz w:val="18"/>
                <w:szCs w:val="18"/>
              </w:rPr>
              <w:t xml:space="preserve"> which may or may not be connected </w:t>
            </w:r>
          </w:p>
        </w:tc>
      </w:tr>
    </w:tbl>
    <w:p w14:paraId="7A65B6D4" w14:textId="77777777" w:rsidR="00337EF0" w:rsidRPr="00820AE4" w:rsidRDefault="00337EF0" w:rsidP="00337EF0">
      <w:pPr>
        <w:spacing w:line="240" w:lineRule="auto"/>
        <w:ind w:right="-31"/>
        <w:jc w:val="both"/>
        <w:rPr>
          <w:rFonts w:ascii="Times New Roman" w:hAnsi="Times New Roman" w:cs="Times New Roman"/>
          <w:b/>
          <w:sz w:val="18"/>
          <w:szCs w:val="18"/>
        </w:rPr>
      </w:pPr>
      <w:r>
        <w:rPr>
          <w:rFonts w:ascii="Times New Roman" w:hAnsi="Times New Roman" w:cs="Times New Roman"/>
          <w:sz w:val="18"/>
          <w:szCs w:val="18"/>
        </w:rPr>
        <w:lastRenderedPageBreak/>
        <w:t>*</w:t>
      </w:r>
      <w:r w:rsidRPr="00820AE4">
        <w:rPr>
          <w:rFonts w:ascii="Times New Roman" w:hAnsi="Times New Roman" w:cs="Times New Roman"/>
          <w:b/>
          <w:sz w:val="18"/>
          <w:szCs w:val="18"/>
        </w:rPr>
        <w:t>Supervisory action will often be more appropriate for failings identified in Band 1 and as such we will not seek to enforce on the characteris</w:t>
      </w:r>
      <w:r>
        <w:rPr>
          <w:rFonts w:ascii="Times New Roman" w:hAnsi="Times New Roman" w:cs="Times New Roman"/>
          <w:b/>
          <w:sz w:val="18"/>
          <w:szCs w:val="18"/>
        </w:rPr>
        <w:t>tics within this band where</w:t>
      </w:r>
      <w:r w:rsidRPr="00820AE4">
        <w:rPr>
          <w:rFonts w:ascii="Times New Roman" w:hAnsi="Times New Roman" w:cs="Times New Roman"/>
          <w:b/>
          <w:sz w:val="18"/>
          <w:szCs w:val="18"/>
        </w:rPr>
        <w:t xml:space="preserve"> supervisory action is deemed to be sufficient.</w:t>
      </w:r>
    </w:p>
    <w:p w14:paraId="2B23E88A" w14:textId="77777777" w:rsidR="00337EF0" w:rsidRPr="007A42EB" w:rsidRDefault="00337EF0" w:rsidP="00337EF0">
      <w:pPr>
        <w:spacing w:line="240" w:lineRule="auto"/>
        <w:ind w:right="-31"/>
        <w:jc w:val="both"/>
        <w:rPr>
          <w:rFonts w:ascii="Times New Roman" w:hAnsi="Times New Roman" w:cs="Times New Roman"/>
          <w:sz w:val="18"/>
          <w:szCs w:val="18"/>
        </w:rPr>
      </w:pPr>
      <w:r>
        <w:rPr>
          <w:rFonts w:ascii="Times New Roman" w:hAnsi="Times New Roman" w:cs="Times New Roman"/>
          <w:sz w:val="18"/>
          <w:szCs w:val="18"/>
        </w:rPr>
        <w:t xml:space="preserve">The schedule above </w:t>
      </w:r>
      <w:r w:rsidRPr="007A42EB">
        <w:rPr>
          <w:rFonts w:ascii="Times New Roman" w:hAnsi="Times New Roman" w:cs="Times New Roman"/>
          <w:sz w:val="18"/>
          <w:szCs w:val="18"/>
        </w:rPr>
        <w:t>is only a guide and the sanctions recommended in individual cases may differ.  Each case will be assessed on its own merits taking into account</w:t>
      </w:r>
      <w:r>
        <w:rPr>
          <w:rFonts w:ascii="Times New Roman" w:hAnsi="Times New Roman" w:cs="Times New Roman"/>
          <w:sz w:val="18"/>
          <w:szCs w:val="18"/>
        </w:rPr>
        <w:t xml:space="preserve"> Section 11D of the Financial Services Commission (Bailiwick of Guernsey) Law, 1987 which includes</w:t>
      </w:r>
      <w:r w:rsidRPr="007A42EB">
        <w:rPr>
          <w:rFonts w:ascii="Times New Roman" w:hAnsi="Times New Roman" w:cs="Times New Roman"/>
          <w:sz w:val="18"/>
          <w:szCs w:val="18"/>
        </w:rPr>
        <w:t xml:space="preserve"> the characteristics outlined in the </w:t>
      </w:r>
      <w:r>
        <w:rPr>
          <w:rFonts w:ascii="Times New Roman" w:hAnsi="Times New Roman" w:cs="Times New Roman"/>
          <w:sz w:val="18"/>
          <w:szCs w:val="18"/>
        </w:rPr>
        <w:t>schedule</w:t>
      </w:r>
      <w:r w:rsidRPr="007A42EB">
        <w:rPr>
          <w:rFonts w:ascii="Times New Roman" w:hAnsi="Times New Roman" w:cs="Times New Roman"/>
          <w:sz w:val="18"/>
          <w:szCs w:val="18"/>
        </w:rPr>
        <w:t xml:space="preserve"> as well as any other ag</w:t>
      </w:r>
      <w:r>
        <w:rPr>
          <w:rFonts w:ascii="Times New Roman" w:hAnsi="Times New Roman" w:cs="Times New Roman"/>
          <w:sz w:val="18"/>
          <w:szCs w:val="18"/>
        </w:rPr>
        <w:t>gravating or mitigating factors</w:t>
      </w:r>
      <w:r w:rsidRPr="007A42EB">
        <w:rPr>
          <w:rFonts w:ascii="Times New Roman" w:hAnsi="Times New Roman" w:cs="Times New Roman"/>
          <w:sz w:val="18"/>
          <w:szCs w:val="18"/>
        </w:rPr>
        <w:t xml:space="preserve"> such as the financial consequences to the firm/individual (taking into consideration the total emoluments an individual has received from a firm during the time they have been connected with them) and, most importantly, the reputational risk to the Bailiwick. Whether the proposed sanction</w:t>
      </w:r>
      <w:r>
        <w:rPr>
          <w:rFonts w:ascii="Times New Roman" w:hAnsi="Times New Roman" w:cs="Times New Roman"/>
          <w:sz w:val="18"/>
          <w:szCs w:val="18"/>
        </w:rPr>
        <w:t>(s)</w:t>
      </w:r>
      <w:r w:rsidRPr="007A42EB">
        <w:rPr>
          <w:rFonts w:ascii="Times New Roman" w:hAnsi="Times New Roman" w:cs="Times New Roman"/>
          <w:sz w:val="18"/>
          <w:szCs w:val="18"/>
        </w:rPr>
        <w:t xml:space="preserve"> will have the appropriate deterrent effect is also a consideration.</w:t>
      </w:r>
      <w:r>
        <w:rPr>
          <w:rFonts w:ascii="Times New Roman" w:hAnsi="Times New Roman" w:cs="Times New Roman"/>
          <w:sz w:val="18"/>
          <w:szCs w:val="18"/>
        </w:rPr>
        <w:t xml:space="preserve"> The</w:t>
      </w:r>
      <w:r w:rsidRPr="00365FD2">
        <w:rPr>
          <w:rFonts w:ascii="Times New Roman" w:hAnsi="Times New Roman" w:cs="Times New Roman"/>
          <w:sz w:val="18"/>
          <w:szCs w:val="18"/>
        </w:rPr>
        <w:t xml:space="preserve"> relevant </w:t>
      </w:r>
      <w:r>
        <w:rPr>
          <w:rFonts w:ascii="Times New Roman" w:hAnsi="Times New Roman" w:cs="Times New Roman"/>
          <w:sz w:val="18"/>
          <w:szCs w:val="18"/>
        </w:rPr>
        <w:t>per</w:t>
      </w:r>
      <w:r w:rsidRPr="001921A9">
        <w:rPr>
          <w:rFonts w:ascii="Times New Roman" w:hAnsi="Times New Roman" w:cs="Times New Roman"/>
          <w:sz w:val="18"/>
          <w:szCs w:val="18"/>
        </w:rPr>
        <w:t>s</w:t>
      </w:r>
      <w:r>
        <w:rPr>
          <w:rFonts w:ascii="Times New Roman" w:hAnsi="Times New Roman" w:cs="Times New Roman"/>
          <w:sz w:val="18"/>
          <w:szCs w:val="18"/>
        </w:rPr>
        <w:t>o</w:t>
      </w:r>
      <w:r w:rsidRPr="001921A9">
        <w:rPr>
          <w:rFonts w:ascii="Times New Roman" w:hAnsi="Times New Roman" w:cs="Times New Roman"/>
          <w:sz w:val="18"/>
          <w:szCs w:val="18"/>
        </w:rPr>
        <w:t>n</w:t>
      </w:r>
      <w:r w:rsidRPr="00365FD2">
        <w:rPr>
          <w:rFonts w:ascii="Times New Roman" w:hAnsi="Times New Roman" w:cs="Times New Roman"/>
          <w:sz w:val="18"/>
          <w:szCs w:val="18"/>
        </w:rPr>
        <w:t xml:space="preserve"> of a licensee will be assessed against the failings of the licensee and the role t</w:t>
      </w:r>
      <w:r>
        <w:rPr>
          <w:rFonts w:ascii="Times New Roman" w:hAnsi="Times New Roman" w:cs="Times New Roman"/>
          <w:sz w:val="18"/>
          <w:szCs w:val="18"/>
        </w:rPr>
        <w:t>hat they may have played in that</w:t>
      </w:r>
      <w:r w:rsidRPr="00365FD2">
        <w:rPr>
          <w:rFonts w:ascii="Times New Roman" w:hAnsi="Times New Roman" w:cs="Times New Roman"/>
          <w:sz w:val="18"/>
          <w:szCs w:val="18"/>
        </w:rPr>
        <w:t xml:space="preserve"> </w:t>
      </w:r>
      <w:r w:rsidRPr="001921A9">
        <w:rPr>
          <w:rFonts w:ascii="Times New Roman" w:hAnsi="Times New Roman" w:cs="Times New Roman"/>
          <w:sz w:val="18"/>
          <w:szCs w:val="18"/>
        </w:rPr>
        <w:t>process.  In essence</w:t>
      </w:r>
      <w:r>
        <w:rPr>
          <w:rFonts w:ascii="Times New Roman" w:hAnsi="Times New Roman" w:cs="Times New Roman"/>
          <w:sz w:val="18"/>
          <w:szCs w:val="18"/>
        </w:rPr>
        <w:t>,</w:t>
      </w:r>
      <w:r w:rsidRPr="001921A9">
        <w:rPr>
          <w:rFonts w:ascii="Times New Roman" w:hAnsi="Times New Roman" w:cs="Times New Roman"/>
          <w:sz w:val="18"/>
          <w:szCs w:val="18"/>
        </w:rPr>
        <w:t xml:space="preserve"> they will be assessed against the minimum criteria for licensing on whether they</w:t>
      </w:r>
      <w:r>
        <w:rPr>
          <w:rFonts w:ascii="Times New Roman" w:hAnsi="Times New Roman" w:cs="Times New Roman"/>
          <w:sz w:val="18"/>
          <w:szCs w:val="18"/>
        </w:rPr>
        <w:t>,</w:t>
      </w:r>
      <w:r w:rsidRPr="001921A9">
        <w:rPr>
          <w:rFonts w:ascii="Times New Roman" w:hAnsi="Times New Roman" w:cs="Times New Roman"/>
          <w:sz w:val="18"/>
          <w:szCs w:val="18"/>
        </w:rPr>
        <w:t xml:space="preserve"> as an individual</w:t>
      </w:r>
      <w:r>
        <w:rPr>
          <w:rFonts w:ascii="Times New Roman" w:hAnsi="Times New Roman" w:cs="Times New Roman"/>
          <w:sz w:val="18"/>
          <w:szCs w:val="18"/>
        </w:rPr>
        <w:t>,</w:t>
      </w:r>
      <w:r w:rsidRPr="001921A9">
        <w:rPr>
          <w:rFonts w:ascii="Times New Roman" w:hAnsi="Times New Roman" w:cs="Times New Roman"/>
          <w:sz w:val="18"/>
          <w:szCs w:val="18"/>
        </w:rPr>
        <w:t xml:space="preserve"> are fit and proper.  In doing so</w:t>
      </w:r>
      <w:r>
        <w:rPr>
          <w:rFonts w:ascii="Times New Roman" w:hAnsi="Times New Roman" w:cs="Times New Roman"/>
          <w:sz w:val="18"/>
          <w:szCs w:val="18"/>
        </w:rPr>
        <w:t>,</w:t>
      </w:r>
      <w:r w:rsidRPr="001921A9">
        <w:rPr>
          <w:rFonts w:ascii="Times New Roman" w:hAnsi="Times New Roman" w:cs="Times New Roman"/>
          <w:sz w:val="18"/>
          <w:szCs w:val="18"/>
        </w:rPr>
        <w:t xml:space="preserve"> consideration will</w:t>
      </w:r>
      <w:r>
        <w:rPr>
          <w:rFonts w:ascii="Times New Roman" w:hAnsi="Times New Roman" w:cs="Times New Roman"/>
          <w:sz w:val="18"/>
          <w:szCs w:val="18"/>
        </w:rPr>
        <w:t xml:space="preserve"> be</w:t>
      </w:r>
      <w:r w:rsidRPr="001921A9">
        <w:rPr>
          <w:rFonts w:ascii="Times New Roman" w:hAnsi="Times New Roman" w:cs="Times New Roman"/>
          <w:sz w:val="18"/>
          <w:szCs w:val="18"/>
        </w:rPr>
        <w:t xml:space="preserve"> given, amongst other things, to their probity, competence, experience, and soundness of judgement and the integrity and skill in which they carried out their duties.  Dependent </w:t>
      </w:r>
      <w:r>
        <w:rPr>
          <w:rFonts w:ascii="Times New Roman" w:hAnsi="Times New Roman" w:cs="Times New Roman"/>
          <w:sz w:val="18"/>
          <w:szCs w:val="18"/>
        </w:rPr>
        <w:t>up</w:t>
      </w:r>
      <w:r w:rsidRPr="001921A9">
        <w:rPr>
          <w:rFonts w:ascii="Times New Roman" w:hAnsi="Times New Roman" w:cs="Times New Roman"/>
          <w:sz w:val="18"/>
          <w:szCs w:val="18"/>
        </w:rPr>
        <w:t xml:space="preserve">on the severity of the findings made against the firm, consideration will then be given to who </w:t>
      </w:r>
      <w:r>
        <w:rPr>
          <w:rFonts w:ascii="Times New Roman" w:hAnsi="Times New Roman" w:cs="Times New Roman"/>
          <w:sz w:val="18"/>
          <w:szCs w:val="18"/>
        </w:rPr>
        <w:t>held the key responsibilities</w:t>
      </w:r>
      <w:r w:rsidRPr="001921A9">
        <w:rPr>
          <w:rFonts w:ascii="Times New Roman" w:hAnsi="Times New Roman" w:cs="Times New Roman"/>
          <w:sz w:val="18"/>
          <w:szCs w:val="18"/>
        </w:rPr>
        <w:t xml:space="preserve"> and should be accountable for the failings identified.</w:t>
      </w:r>
    </w:p>
    <w:p w14:paraId="1B9CC3FC" w14:textId="77777777" w:rsidR="0005264A" w:rsidRPr="007A42EB" w:rsidRDefault="0005264A" w:rsidP="00337EF0">
      <w:pPr>
        <w:spacing w:after="0" w:line="360" w:lineRule="auto"/>
        <w:jc w:val="both"/>
        <w:rPr>
          <w:rFonts w:ascii="Times New Roman" w:hAnsi="Times New Roman" w:cs="Times New Roman"/>
          <w:sz w:val="18"/>
          <w:szCs w:val="18"/>
        </w:rPr>
      </w:pPr>
    </w:p>
    <w:sectPr w:rsidR="0005264A" w:rsidRPr="007A42EB" w:rsidSect="00830503">
      <w:headerReference w:type="even" r:id="rId14"/>
      <w:headerReference w:type="default" r:id="rId15"/>
      <w:footerReference w:type="default" r:id="rId16"/>
      <w:headerReference w:type="first" r:id="rId17"/>
      <w:footerReference w:type="first" r:id="rId18"/>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56488" w14:textId="77777777" w:rsidR="00D561CF" w:rsidRDefault="00D561CF" w:rsidP="00FE5470">
      <w:pPr>
        <w:spacing w:after="0" w:line="240" w:lineRule="auto"/>
      </w:pPr>
      <w:r>
        <w:separator/>
      </w:r>
    </w:p>
  </w:endnote>
  <w:endnote w:type="continuationSeparator" w:id="0">
    <w:p w14:paraId="6FEAA788" w14:textId="77777777" w:rsidR="00D561CF" w:rsidRDefault="00D561CF" w:rsidP="00FE5470">
      <w:pPr>
        <w:spacing w:after="0" w:line="240" w:lineRule="auto"/>
      </w:pPr>
      <w:r>
        <w:continuationSeparator/>
      </w:r>
    </w:p>
  </w:endnote>
  <w:endnote w:type="continuationNotice" w:id="1">
    <w:p w14:paraId="1FBCB3CC" w14:textId="77777777" w:rsidR="00D561CF" w:rsidRDefault="00D561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348162"/>
      <w:docPartObj>
        <w:docPartGallery w:val="Page Numbers (Bottom of Page)"/>
        <w:docPartUnique/>
      </w:docPartObj>
    </w:sdtPr>
    <w:sdtEndPr>
      <w:rPr>
        <w:noProof/>
      </w:rPr>
    </w:sdtEndPr>
    <w:sdtContent>
      <w:p w14:paraId="32C1561E" w14:textId="77777777" w:rsidR="000207B3" w:rsidRDefault="000207B3">
        <w:pPr>
          <w:pStyle w:val="Footer"/>
          <w:jc w:val="center"/>
        </w:pPr>
        <w:r>
          <w:fldChar w:fldCharType="begin"/>
        </w:r>
        <w:r>
          <w:instrText xml:space="preserve"> PAGE   \* MERGEFORMAT </w:instrText>
        </w:r>
        <w:r>
          <w:fldChar w:fldCharType="separate"/>
        </w:r>
        <w:r w:rsidR="002C1C39">
          <w:rPr>
            <w:noProof/>
          </w:rPr>
          <w:t>3</w:t>
        </w:r>
        <w:r>
          <w:rPr>
            <w:noProof/>
          </w:rPr>
          <w:fldChar w:fldCharType="end"/>
        </w:r>
      </w:p>
    </w:sdtContent>
  </w:sdt>
  <w:p w14:paraId="3E118056" w14:textId="77777777" w:rsidR="000207B3" w:rsidRDefault="000207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8E285" w14:textId="77777777" w:rsidR="000207B3" w:rsidRDefault="000207B3">
    <w:pPr>
      <w:pStyle w:val="Footer"/>
    </w:pPr>
    <w:r>
      <w:rPr>
        <w:rFonts w:ascii="Times New Roman" w:hAnsi="Times New Roman" w:cs="Times New Roman"/>
        <w:color w:val="595959"/>
        <w:sz w:val="18"/>
        <w:szCs w:val="18"/>
      </w:rPr>
      <w:tab/>
    </w:r>
    <w:r>
      <w:rPr>
        <w:rFonts w:ascii="Times New Roman" w:hAnsi="Times New Roman" w:cs="Times New Roman"/>
        <w:color w:val="595959"/>
        <w:sz w:val="18"/>
        <w:szCs w:val="18"/>
      </w:rPr>
      <w:tab/>
    </w:r>
    <w:r w:rsidRPr="00FE5470">
      <w:rPr>
        <w:rFonts w:ascii="Times New Roman" w:hAnsi="Times New Roman" w:cs="Times New Roman"/>
        <w:color w:val="98002E"/>
        <w:sz w:val="18"/>
        <w:szCs w:val="18"/>
      </w:rPr>
      <w:fldChar w:fldCharType="begin"/>
    </w:r>
    <w:r w:rsidRPr="00FE5470">
      <w:rPr>
        <w:rFonts w:ascii="Times New Roman" w:hAnsi="Times New Roman" w:cs="Times New Roman"/>
        <w:color w:val="98002E"/>
        <w:sz w:val="18"/>
        <w:szCs w:val="18"/>
      </w:rPr>
      <w:instrText xml:space="preserve"> PAGE   \* MERGEFORMAT </w:instrText>
    </w:r>
    <w:r w:rsidRPr="00FE5470">
      <w:rPr>
        <w:rFonts w:ascii="Times New Roman" w:hAnsi="Times New Roman" w:cs="Times New Roman"/>
        <w:color w:val="98002E"/>
        <w:sz w:val="18"/>
        <w:szCs w:val="18"/>
      </w:rPr>
      <w:fldChar w:fldCharType="separate"/>
    </w:r>
    <w:r w:rsidR="002C1C39">
      <w:rPr>
        <w:rFonts w:ascii="Times New Roman" w:hAnsi="Times New Roman" w:cs="Times New Roman"/>
        <w:noProof/>
        <w:color w:val="98002E"/>
        <w:sz w:val="18"/>
        <w:szCs w:val="18"/>
      </w:rPr>
      <w:t>5</w:t>
    </w:r>
    <w:r w:rsidRPr="00FE5470">
      <w:rPr>
        <w:rFonts w:ascii="Times New Roman" w:hAnsi="Times New Roman" w:cs="Times New Roman"/>
        <w:noProof/>
        <w:color w:val="98002E"/>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E9085" w14:textId="77777777" w:rsidR="000207B3" w:rsidRPr="00517D86" w:rsidRDefault="000207B3" w:rsidP="00517D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15913" w14:textId="77777777" w:rsidR="00D561CF" w:rsidRDefault="00D561CF" w:rsidP="00FE5470">
      <w:pPr>
        <w:spacing w:after="0" w:line="240" w:lineRule="auto"/>
      </w:pPr>
      <w:r>
        <w:separator/>
      </w:r>
    </w:p>
  </w:footnote>
  <w:footnote w:type="continuationSeparator" w:id="0">
    <w:p w14:paraId="1BE3DF11" w14:textId="77777777" w:rsidR="00D561CF" w:rsidRDefault="00D561CF" w:rsidP="00FE5470">
      <w:pPr>
        <w:spacing w:after="0" w:line="240" w:lineRule="auto"/>
      </w:pPr>
      <w:r>
        <w:continuationSeparator/>
      </w:r>
    </w:p>
  </w:footnote>
  <w:footnote w:type="continuationNotice" w:id="1">
    <w:p w14:paraId="36ADA5CC" w14:textId="77777777" w:rsidR="00D561CF" w:rsidRDefault="00D561C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2C2F5" w14:textId="77777777" w:rsidR="000207B3" w:rsidRDefault="000207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ADEAC" w14:textId="77777777" w:rsidR="000207B3" w:rsidRDefault="000207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EA3BD" w14:textId="77777777" w:rsidR="000207B3" w:rsidRDefault="000207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E3A7B"/>
    <w:multiLevelType w:val="hybridMultilevel"/>
    <w:tmpl w:val="682E0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3118B7"/>
    <w:multiLevelType w:val="hybridMultilevel"/>
    <w:tmpl w:val="E98ADCF6"/>
    <w:lvl w:ilvl="0" w:tplc="5E568B14">
      <w:start w:val="1"/>
      <w:numFmt w:val="bullet"/>
      <w:pStyle w:val="BulletedLis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4139E5"/>
    <w:multiLevelType w:val="hybridMultilevel"/>
    <w:tmpl w:val="2EF6E0BA"/>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 w15:restartNumberingAfterBreak="0">
    <w:nsid w:val="1A35155F"/>
    <w:multiLevelType w:val="hybridMultilevel"/>
    <w:tmpl w:val="72547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3A5BBE"/>
    <w:multiLevelType w:val="hybridMultilevel"/>
    <w:tmpl w:val="859A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305CF"/>
    <w:multiLevelType w:val="hybridMultilevel"/>
    <w:tmpl w:val="3632753A"/>
    <w:lvl w:ilvl="0" w:tplc="F9E4625A">
      <w:start w:val="1"/>
      <w:numFmt w:val="decimal"/>
      <w:pStyle w:val="NUMBERPARA"/>
      <w:lvlText w:val="%1."/>
      <w:lvlJc w:val="left"/>
      <w:pPr>
        <w:ind w:left="786" w:hanging="360"/>
      </w:pPr>
      <w:rPr>
        <w:rFonts w:hint="default"/>
        <w:b w:val="0"/>
        <w:bCs w:val="0"/>
        <w:i w:val="0"/>
        <w:iCs w:val="0"/>
        <w:smallCaps w:val="0"/>
        <w:strike w:val="0"/>
        <w:dstrike w:val="0"/>
        <w:noProof w:val="0"/>
        <w:vanish w:val="0"/>
        <w:color w:val="000000"/>
        <w:kern w:val="0"/>
        <w:position w:val="0"/>
        <w:u w:val="none"/>
        <w:vertAlign w:val="baseline"/>
        <w:em w:val="none"/>
      </w:rPr>
    </w:lvl>
    <w:lvl w:ilvl="1" w:tplc="EE2806F8">
      <w:start w:val="1"/>
      <w:numFmt w:val="decimal"/>
      <w:lvlText w:val="%2."/>
      <w:lvlJc w:val="left"/>
      <w:pPr>
        <w:ind w:left="1506" w:hanging="36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ABE779E"/>
    <w:multiLevelType w:val="hybridMultilevel"/>
    <w:tmpl w:val="935E19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7463D69"/>
    <w:multiLevelType w:val="hybridMultilevel"/>
    <w:tmpl w:val="3924A5A6"/>
    <w:lvl w:ilvl="0" w:tplc="591294D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EF4A52"/>
    <w:multiLevelType w:val="hybridMultilevel"/>
    <w:tmpl w:val="8550B586"/>
    <w:lvl w:ilvl="0" w:tplc="9EA4863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37F4C"/>
    <w:multiLevelType w:val="hybridMultilevel"/>
    <w:tmpl w:val="CDDCF15C"/>
    <w:lvl w:ilvl="0" w:tplc="1FAED6D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4A25D7"/>
    <w:multiLevelType w:val="hybridMultilevel"/>
    <w:tmpl w:val="CBCA8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301967"/>
    <w:multiLevelType w:val="hybridMultilevel"/>
    <w:tmpl w:val="5D90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E040D4"/>
    <w:multiLevelType w:val="hybridMultilevel"/>
    <w:tmpl w:val="AA88A8AC"/>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3" w15:restartNumberingAfterBreak="0">
    <w:nsid w:val="505F02CF"/>
    <w:multiLevelType w:val="hybridMultilevel"/>
    <w:tmpl w:val="4B06A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A90212"/>
    <w:multiLevelType w:val="hybridMultilevel"/>
    <w:tmpl w:val="1BD2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BA2EFA"/>
    <w:multiLevelType w:val="hybridMultilevel"/>
    <w:tmpl w:val="FDA4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9E59E2"/>
    <w:multiLevelType w:val="hybridMultilevel"/>
    <w:tmpl w:val="DEF859C8"/>
    <w:lvl w:ilvl="0" w:tplc="21DEA8D8">
      <w:start w:val="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59379F2"/>
    <w:multiLevelType w:val="hybridMultilevel"/>
    <w:tmpl w:val="1A4C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D344DE"/>
    <w:multiLevelType w:val="hybridMultilevel"/>
    <w:tmpl w:val="B47ECA0E"/>
    <w:lvl w:ilvl="0" w:tplc="73282A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860B7D"/>
    <w:multiLevelType w:val="hybridMultilevel"/>
    <w:tmpl w:val="C6C8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16759"/>
    <w:multiLevelType w:val="hybridMultilevel"/>
    <w:tmpl w:val="5DCEFE5C"/>
    <w:lvl w:ilvl="0" w:tplc="BDC60030">
      <w:start w:val="1"/>
      <w:numFmt w:val="decimal"/>
      <w:lvlText w:val="%1)"/>
      <w:lvlJc w:val="left"/>
      <w:pPr>
        <w:ind w:left="360" w:hanging="360"/>
      </w:pPr>
      <w:rPr>
        <w:rFonts w:ascii="Times New Roman" w:eastAsiaTheme="minorHAnsi"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667170B"/>
    <w:multiLevelType w:val="hybridMultilevel"/>
    <w:tmpl w:val="8FB49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17"/>
  </w:num>
  <w:num w:numId="4">
    <w:abstractNumId w:val="20"/>
  </w:num>
  <w:num w:numId="5">
    <w:abstractNumId w:val="0"/>
  </w:num>
  <w:num w:numId="6">
    <w:abstractNumId w:val="8"/>
  </w:num>
  <w:num w:numId="7">
    <w:abstractNumId w:val="16"/>
  </w:num>
  <w:num w:numId="8">
    <w:abstractNumId w:val="19"/>
  </w:num>
  <w:num w:numId="9">
    <w:abstractNumId w:val="9"/>
  </w:num>
  <w:num w:numId="10">
    <w:abstractNumId w:val="4"/>
  </w:num>
  <w:num w:numId="11">
    <w:abstractNumId w:val="14"/>
  </w:num>
  <w:num w:numId="12">
    <w:abstractNumId w:val="10"/>
  </w:num>
  <w:num w:numId="13">
    <w:abstractNumId w:val="18"/>
  </w:num>
  <w:num w:numId="14">
    <w:abstractNumId w:val="3"/>
  </w:num>
  <w:num w:numId="15">
    <w:abstractNumId w:val="6"/>
  </w:num>
  <w:num w:numId="16">
    <w:abstractNumId w:val="1"/>
  </w:num>
  <w:num w:numId="17">
    <w:abstractNumId w:val="5"/>
  </w:num>
  <w:num w:numId="18">
    <w:abstractNumId w:val="11"/>
  </w:num>
  <w:num w:numId="19">
    <w:abstractNumId w:val="21"/>
  </w:num>
  <w:num w:numId="20">
    <w:abstractNumId w:val="7"/>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61"/>
    <w:rsid w:val="00017EC9"/>
    <w:rsid w:val="000207B3"/>
    <w:rsid w:val="00027A43"/>
    <w:rsid w:val="00037960"/>
    <w:rsid w:val="0004048C"/>
    <w:rsid w:val="000440F4"/>
    <w:rsid w:val="00046C63"/>
    <w:rsid w:val="00047529"/>
    <w:rsid w:val="00050830"/>
    <w:rsid w:val="0005098D"/>
    <w:rsid w:val="0005264A"/>
    <w:rsid w:val="000544F9"/>
    <w:rsid w:val="00055171"/>
    <w:rsid w:val="00063FDE"/>
    <w:rsid w:val="00065A9A"/>
    <w:rsid w:val="00072751"/>
    <w:rsid w:val="00072FC9"/>
    <w:rsid w:val="0007368A"/>
    <w:rsid w:val="00081370"/>
    <w:rsid w:val="00086FFD"/>
    <w:rsid w:val="00091AF8"/>
    <w:rsid w:val="000974C0"/>
    <w:rsid w:val="000A0383"/>
    <w:rsid w:val="000A249D"/>
    <w:rsid w:val="000A3235"/>
    <w:rsid w:val="000A7E04"/>
    <w:rsid w:val="000A7F3F"/>
    <w:rsid w:val="000C21CB"/>
    <w:rsid w:val="000C60DA"/>
    <w:rsid w:val="000D5DC6"/>
    <w:rsid w:val="000E0B6D"/>
    <w:rsid w:val="000F5356"/>
    <w:rsid w:val="000F739A"/>
    <w:rsid w:val="001032F1"/>
    <w:rsid w:val="001075CD"/>
    <w:rsid w:val="0010795B"/>
    <w:rsid w:val="00110C62"/>
    <w:rsid w:val="001352F7"/>
    <w:rsid w:val="001451C5"/>
    <w:rsid w:val="0014638E"/>
    <w:rsid w:val="00147082"/>
    <w:rsid w:val="0015232F"/>
    <w:rsid w:val="00152F05"/>
    <w:rsid w:val="00156B15"/>
    <w:rsid w:val="001578F8"/>
    <w:rsid w:val="0016021A"/>
    <w:rsid w:val="00160BBB"/>
    <w:rsid w:val="00160C87"/>
    <w:rsid w:val="001756F4"/>
    <w:rsid w:val="00180349"/>
    <w:rsid w:val="00191E94"/>
    <w:rsid w:val="0019449B"/>
    <w:rsid w:val="00194E5E"/>
    <w:rsid w:val="00197026"/>
    <w:rsid w:val="001A2876"/>
    <w:rsid w:val="001A2E8F"/>
    <w:rsid w:val="001A3B53"/>
    <w:rsid w:val="001A421E"/>
    <w:rsid w:val="001B1AA3"/>
    <w:rsid w:val="001C1D77"/>
    <w:rsid w:val="001C57D5"/>
    <w:rsid w:val="001D513A"/>
    <w:rsid w:val="001E6594"/>
    <w:rsid w:val="001F3010"/>
    <w:rsid w:val="001F4ACF"/>
    <w:rsid w:val="0020064B"/>
    <w:rsid w:val="0020702A"/>
    <w:rsid w:val="00211FFE"/>
    <w:rsid w:val="0021293B"/>
    <w:rsid w:val="00213B0A"/>
    <w:rsid w:val="0021621E"/>
    <w:rsid w:val="002162AD"/>
    <w:rsid w:val="00224DE6"/>
    <w:rsid w:val="00227971"/>
    <w:rsid w:val="00230AA0"/>
    <w:rsid w:val="002322E4"/>
    <w:rsid w:val="0023273F"/>
    <w:rsid w:val="002418FF"/>
    <w:rsid w:val="0024440F"/>
    <w:rsid w:val="00250E02"/>
    <w:rsid w:val="002843D3"/>
    <w:rsid w:val="00284E54"/>
    <w:rsid w:val="00287280"/>
    <w:rsid w:val="00290E73"/>
    <w:rsid w:val="00292448"/>
    <w:rsid w:val="00292514"/>
    <w:rsid w:val="0029257F"/>
    <w:rsid w:val="0029357B"/>
    <w:rsid w:val="002966C9"/>
    <w:rsid w:val="00297441"/>
    <w:rsid w:val="002A0F40"/>
    <w:rsid w:val="002A5930"/>
    <w:rsid w:val="002A6AB0"/>
    <w:rsid w:val="002B5504"/>
    <w:rsid w:val="002B5DAD"/>
    <w:rsid w:val="002B6F8F"/>
    <w:rsid w:val="002C1C39"/>
    <w:rsid w:val="002C7818"/>
    <w:rsid w:val="002E09FE"/>
    <w:rsid w:val="002E27BB"/>
    <w:rsid w:val="002F1268"/>
    <w:rsid w:val="002F7C3B"/>
    <w:rsid w:val="00301C6F"/>
    <w:rsid w:val="00312307"/>
    <w:rsid w:val="003131A2"/>
    <w:rsid w:val="003158BB"/>
    <w:rsid w:val="00316BCD"/>
    <w:rsid w:val="00321243"/>
    <w:rsid w:val="00322E1C"/>
    <w:rsid w:val="00324B27"/>
    <w:rsid w:val="0032558E"/>
    <w:rsid w:val="00330AF1"/>
    <w:rsid w:val="00333CDD"/>
    <w:rsid w:val="00335EF9"/>
    <w:rsid w:val="00337EF0"/>
    <w:rsid w:val="00344F74"/>
    <w:rsid w:val="00346B28"/>
    <w:rsid w:val="00354431"/>
    <w:rsid w:val="00361A72"/>
    <w:rsid w:val="003764D3"/>
    <w:rsid w:val="003910D9"/>
    <w:rsid w:val="003951D3"/>
    <w:rsid w:val="00397235"/>
    <w:rsid w:val="003A7E76"/>
    <w:rsid w:val="003B2171"/>
    <w:rsid w:val="003B27DB"/>
    <w:rsid w:val="003B626C"/>
    <w:rsid w:val="003C5559"/>
    <w:rsid w:val="003E00FC"/>
    <w:rsid w:val="003E4CD2"/>
    <w:rsid w:val="003E645F"/>
    <w:rsid w:val="003F35EE"/>
    <w:rsid w:val="0040012D"/>
    <w:rsid w:val="00402EC0"/>
    <w:rsid w:val="00406C30"/>
    <w:rsid w:val="0041020C"/>
    <w:rsid w:val="004267EC"/>
    <w:rsid w:val="00427A91"/>
    <w:rsid w:val="004461A2"/>
    <w:rsid w:val="00461035"/>
    <w:rsid w:val="004610A6"/>
    <w:rsid w:val="00462D2F"/>
    <w:rsid w:val="004644A6"/>
    <w:rsid w:val="00472911"/>
    <w:rsid w:val="00473BCF"/>
    <w:rsid w:val="00476AC5"/>
    <w:rsid w:val="00496C77"/>
    <w:rsid w:val="004A071E"/>
    <w:rsid w:val="004A27BA"/>
    <w:rsid w:val="004A604B"/>
    <w:rsid w:val="004B36E7"/>
    <w:rsid w:val="004C02BB"/>
    <w:rsid w:val="004C6CED"/>
    <w:rsid w:val="004D6420"/>
    <w:rsid w:val="004E47A8"/>
    <w:rsid w:val="004F1E6B"/>
    <w:rsid w:val="004F3611"/>
    <w:rsid w:val="004F5DC5"/>
    <w:rsid w:val="005037C1"/>
    <w:rsid w:val="00510F94"/>
    <w:rsid w:val="00511F21"/>
    <w:rsid w:val="00513803"/>
    <w:rsid w:val="00515DD6"/>
    <w:rsid w:val="00517461"/>
    <w:rsid w:val="00517D86"/>
    <w:rsid w:val="005201AF"/>
    <w:rsid w:val="0052687B"/>
    <w:rsid w:val="0053511C"/>
    <w:rsid w:val="00536A4C"/>
    <w:rsid w:val="00537DEA"/>
    <w:rsid w:val="00540775"/>
    <w:rsid w:val="00541E64"/>
    <w:rsid w:val="005437C6"/>
    <w:rsid w:val="00543F3B"/>
    <w:rsid w:val="005440DE"/>
    <w:rsid w:val="00545EA9"/>
    <w:rsid w:val="0055037A"/>
    <w:rsid w:val="00556A4F"/>
    <w:rsid w:val="005575A8"/>
    <w:rsid w:val="005609D7"/>
    <w:rsid w:val="0056308D"/>
    <w:rsid w:val="0056429F"/>
    <w:rsid w:val="00570C76"/>
    <w:rsid w:val="0057168E"/>
    <w:rsid w:val="00573E5E"/>
    <w:rsid w:val="00577E95"/>
    <w:rsid w:val="0058320E"/>
    <w:rsid w:val="00594071"/>
    <w:rsid w:val="005A105F"/>
    <w:rsid w:val="005A4290"/>
    <w:rsid w:val="005A61AC"/>
    <w:rsid w:val="005B5E1D"/>
    <w:rsid w:val="005B63B6"/>
    <w:rsid w:val="005D71B4"/>
    <w:rsid w:val="005E143B"/>
    <w:rsid w:val="005E2B83"/>
    <w:rsid w:val="005E2C43"/>
    <w:rsid w:val="005E6915"/>
    <w:rsid w:val="00602B1C"/>
    <w:rsid w:val="00605418"/>
    <w:rsid w:val="00607BCD"/>
    <w:rsid w:val="00612CD0"/>
    <w:rsid w:val="00616801"/>
    <w:rsid w:val="00617144"/>
    <w:rsid w:val="00624483"/>
    <w:rsid w:val="006273AE"/>
    <w:rsid w:val="00630B53"/>
    <w:rsid w:val="006323A5"/>
    <w:rsid w:val="006327FB"/>
    <w:rsid w:val="00633E17"/>
    <w:rsid w:val="0063772D"/>
    <w:rsid w:val="00640A9F"/>
    <w:rsid w:val="00642F0F"/>
    <w:rsid w:val="00643CE4"/>
    <w:rsid w:val="00643DF0"/>
    <w:rsid w:val="00644ABD"/>
    <w:rsid w:val="006643CA"/>
    <w:rsid w:val="00666797"/>
    <w:rsid w:val="00673540"/>
    <w:rsid w:val="0067655C"/>
    <w:rsid w:val="0067737B"/>
    <w:rsid w:val="006804F6"/>
    <w:rsid w:val="00686DF9"/>
    <w:rsid w:val="00691318"/>
    <w:rsid w:val="006A01E9"/>
    <w:rsid w:val="006A21B7"/>
    <w:rsid w:val="006A6A99"/>
    <w:rsid w:val="006B5A87"/>
    <w:rsid w:val="006B71C3"/>
    <w:rsid w:val="006C15F3"/>
    <w:rsid w:val="006C1726"/>
    <w:rsid w:val="006C6EEA"/>
    <w:rsid w:val="006C754E"/>
    <w:rsid w:val="006D143B"/>
    <w:rsid w:val="006E67BB"/>
    <w:rsid w:val="006F03EE"/>
    <w:rsid w:val="006F765D"/>
    <w:rsid w:val="007014CA"/>
    <w:rsid w:val="00703783"/>
    <w:rsid w:val="00711088"/>
    <w:rsid w:val="00714C7E"/>
    <w:rsid w:val="007161CF"/>
    <w:rsid w:val="0071648C"/>
    <w:rsid w:val="00724332"/>
    <w:rsid w:val="0072646A"/>
    <w:rsid w:val="00734979"/>
    <w:rsid w:val="00740131"/>
    <w:rsid w:val="00742AB3"/>
    <w:rsid w:val="007473DB"/>
    <w:rsid w:val="007572EE"/>
    <w:rsid w:val="007676D5"/>
    <w:rsid w:val="0077266D"/>
    <w:rsid w:val="00781561"/>
    <w:rsid w:val="00786F9E"/>
    <w:rsid w:val="00791AC0"/>
    <w:rsid w:val="007A0508"/>
    <w:rsid w:val="007A2414"/>
    <w:rsid w:val="007A42EB"/>
    <w:rsid w:val="007A4842"/>
    <w:rsid w:val="007B05B9"/>
    <w:rsid w:val="007B15AE"/>
    <w:rsid w:val="007B39AB"/>
    <w:rsid w:val="007C5663"/>
    <w:rsid w:val="007D1A11"/>
    <w:rsid w:val="007D2288"/>
    <w:rsid w:val="007D7D60"/>
    <w:rsid w:val="007E3DEC"/>
    <w:rsid w:val="007F0300"/>
    <w:rsid w:val="007F0AF4"/>
    <w:rsid w:val="007F25C9"/>
    <w:rsid w:val="007F261D"/>
    <w:rsid w:val="008036CE"/>
    <w:rsid w:val="00804E83"/>
    <w:rsid w:val="0080582C"/>
    <w:rsid w:val="00805DFA"/>
    <w:rsid w:val="008124E0"/>
    <w:rsid w:val="0081639F"/>
    <w:rsid w:val="00820AE4"/>
    <w:rsid w:val="0082113E"/>
    <w:rsid w:val="00822F37"/>
    <w:rsid w:val="00823A3B"/>
    <w:rsid w:val="00825B9C"/>
    <w:rsid w:val="00830503"/>
    <w:rsid w:val="0083130B"/>
    <w:rsid w:val="00834FA4"/>
    <w:rsid w:val="00843075"/>
    <w:rsid w:val="0084308A"/>
    <w:rsid w:val="008574FB"/>
    <w:rsid w:val="00860A8C"/>
    <w:rsid w:val="008622D4"/>
    <w:rsid w:val="00865BD5"/>
    <w:rsid w:val="00865EAB"/>
    <w:rsid w:val="00873C48"/>
    <w:rsid w:val="00883471"/>
    <w:rsid w:val="0088628D"/>
    <w:rsid w:val="00886DC9"/>
    <w:rsid w:val="00891DA5"/>
    <w:rsid w:val="008929C8"/>
    <w:rsid w:val="00895755"/>
    <w:rsid w:val="008964AB"/>
    <w:rsid w:val="008977E9"/>
    <w:rsid w:val="008A3322"/>
    <w:rsid w:val="008A4A8B"/>
    <w:rsid w:val="008B15CA"/>
    <w:rsid w:val="008B395E"/>
    <w:rsid w:val="008B534D"/>
    <w:rsid w:val="008B69BE"/>
    <w:rsid w:val="008C0FDA"/>
    <w:rsid w:val="008C1168"/>
    <w:rsid w:val="008C2C38"/>
    <w:rsid w:val="008C4D1E"/>
    <w:rsid w:val="008C5DD1"/>
    <w:rsid w:val="008D333D"/>
    <w:rsid w:val="008D6914"/>
    <w:rsid w:val="008D6F2D"/>
    <w:rsid w:val="008E4AF4"/>
    <w:rsid w:val="008E6022"/>
    <w:rsid w:val="008E64FD"/>
    <w:rsid w:val="008F1900"/>
    <w:rsid w:val="008F317D"/>
    <w:rsid w:val="008F5A71"/>
    <w:rsid w:val="008F78CD"/>
    <w:rsid w:val="0090476C"/>
    <w:rsid w:val="00904854"/>
    <w:rsid w:val="00905CA5"/>
    <w:rsid w:val="00912A29"/>
    <w:rsid w:val="009201DD"/>
    <w:rsid w:val="00925859"/>
    <w:rsid w:val="009322EC"/>
    <w:rsid w:val="00933818"/>
    <w:rsid w:val="00942D59"/>
    <w:rsid w:val="00943781"/>
    <w:rsid w:val="00945BE2"/>
    <w:rsid w:val="00952463"/>
    <w:rsid w:val="00952C00"/>
    <w:rsid w:val="009578CA"/>
    <w:rsid w:val="009656FF"/>
    <w:rsid w:val="009731EB"/>
    <w:rsid w:val="00976214"/>
    <w:rsid w:val="0098025A"/>
    <w:rsid w:val="00981B32"/>
    <w:rsid w:val="009820B0"/>
    <w:rsid w:val="009976A3"/>
    <w:rsid w:val="009A1860"/>
    <w:rsid w:val="009A2FDC"/>
    <w:rsid w:val="009B20E9"/>
    <w:rsid w:val="009B3941"/>
    <w:rsid w:val="009D6CC9"/>
    <w:rsid w:val="009D7474"/>
    <w:rsid w:val="009E2A58"/>
    <w:rsid w:val="009E4F57"/>
    <w:rsid w:val="009E6B69"/>
    <w:rsid w:val="009F2294"/>
    <w:rsid w:val="009F3BFC"/>
    <w:rsid w:val="00A141D4"/>
    <w:rsid w:val="00A170E7"/>
    <w:rsid w:val="00A231E9"/>
    <w:rsid w:val="00A23214"/>
    <w:rsid w:val="00A30EA7"/>
    <w:rsid w:val="00A324FE"/>
    <w:rsid w:val="00A349B1"/>
    <w:rsid w:val="00A36C41"/>
    <w:rsid w:val="00A40DD3"/>
    <w:rsid w:val="00A42A7D"/>
    <w:rsid w:val="00A4347B"/>
    <w:rsid w:val="00A45F66"/>
    <w:rsid w:val="00A52ECB"/>
    <w:rsid w:val="00A60262"/>
    <w:rsid w:val="00A63D98"/>
    <w:rsid w:val="00A63F79"/>
    <w:rsid w:val="00A762CC"/>
    <w:rsid w:val="00A7782D"/>
    <w:rsid w:val="00A81992"/>
    <w:rsid w:val="00A8462C"/>
    <w:rsid w:val="00A91193"/>
    <w:rsid w:val="00A95E7F"/>
    <w:rsid w:val="00AA118B"/>
    <w:rsid w:val="00AA393E"/>
    <w:rsid w:val="00AA7979"/>
    <w:rsid w:val="00AB5559"/>
    <w:rsid w:val="00AC3AC4"/>
    <w:rsid w:val="00AC3FF8"/>
    <w:rsid w:val="00AD071E"/>
    <w:rsid w:val="00AE1AB4"/>
    <w:rsid w:val="00AE2643"/>
    <w:rsid w:val="00AE3B51"/>
    <w:rsid w:val="00AE3F97"/>
    <w:rsid w:val="00B0775B"/>
    <w:rsid w:val="00B0775C"/>
    <w:rsid w:val="00B116D4"/>
    <w:rsid w:val="00B11F59"/>
    <w:rsid w:val="00B13A62"/>
    <w:rsid w:val="00B15443"/>
    <w:rsid w:val="00B1579F"/>
    <w:rsid w:val="00B16B49"/>
    <w:rsid w:val="00B17FEE"/>
    <w:rsid w:val="00B22AA2"/>
    <w:rsid w:val="00B25291"/>
    <w:rsid w:val="00B60C1D"/>
    <w:rsid w:val="00B634A2"/>
    <w:rsid w:val="00B726E7"/>
    <w:rsid w:val="00B74849"/>
    <w:rsid w:val="00B765C9"/>
    <w:rsid w:val="00B81271"/>
    <w:rsid w:val="00B84A5D"/>
    <w:rsid w:val="00B84CBC"/>
    <w:rsid w:val="00B87E01"/>
    <w:rsid w:val="00B94520"/>
    <w:rsid w:val="00BA5CCB"/>
    <w:rsid w:val="00BA6412"/>
    <w:rsid w:val="00BB2868"/>
    <w:rsid w:val="00BB439E"/>
    <w:rsid w:val="00BB63D7"/>
    <w:rsid w:val="00BB6E1B"/>
    <w:rsid w:val="00BC3FD4"/>
    <w:rsid w:val="00BC5029"/>
    <w:rsid w:val="00BD551F"/>
    <w:rsid w:val="00BE1B8E"/>
    <w:rsid w:val="00BE60D4"/>
    <w:rsid w:val="00BF201D"/>
    <w:rsid w:val="00BF34CA"/>
    <w:rsid w:val="00BF5877"/>
    <w:rsid w:val="00BF69A3"/>
    <w:rsid w:val="00BF73CF"/>
    <w:rsid w:val="00BF73E4"/>
    <w:rsid w:val="00C029A9"/>
    <w:rsid w:val="00C034CC"/>
    <w:rsid w:val="00C03890"/>
    <w:rsid w:val="00C045C4"/>
    <w:rsid w:val="00C05EDD"/>
    <w:rsid w:val="00C06957"/>
    <w:rsid w:val="00C10BBE"/>
    <w:rsid w:val="00C12FE3"/>
    <w:rsid w:val="00C25A64"/>
    <w:rsid w:val="00C27E9E"/>
    <w:rsid w:val="00C337BE"/>
    <w:rsid w:val="00C3506E"/>
    <w:rsid w:val="00C4032E"/>
    <w:rsid w:val="00C44DE5"/>
    <w:rsid w:val="00C44E4A"/>
    <w:rsid w:val="00C61C5A"/>
    <w:rsid w:val="00C703E5"/>
    <w:rsid w:val="00C7076A"/>
    <w:rsid w:val="00C70CE4"/>
    <w:rsid w:val="00C83867"/>
    <w:rsid w:val="00C84FEC"/>
    <w:rsid w:val="00C8507B"/>
    <w:rsid w:val="00C96A7B"/>
    <w:rsid w:val="00C9708D"/>
    <w:rsid w:val="00CA18EB"/>
    <w:rsid w:val="00CA7A74"/>
    <w:rsid w:val="00CB234E"/>
    <w:rsid w:val="00CC3CBD"/>
    <w:rsid w:val="00CC5116"/>
    <w:rsid w:val="00CC5E3E"/>
    <w:rsid w:val="00CC672F"/>
    <w:rsid w:val="00CD155D"/>
    <w:rsid w:val="00CD5C0A"/>
    <w:rsid w:val="00CE5FCE"/>
    <w:rsid w:val="00CF022E"/>
    <w:rsid w:val="00CF062E"/>
    <w:rsid w:val="00D03A0F"/>
    <w:rsid w:val="00D12A9E"/>
    <w:rsid w:val="00D13764"/>
    <w:rsid w:val="00D16CC0"/>
    <w:rsid w:val="00D20A0E"/>
    <w:rsid w:val="00D2721B"/>
    <w:rsid w:val="00D2754B"/>
    <w:rsid w:val="00D32B91"/>
    <w:rsid w:val="00D41E94"/>
    <w:rsid w:val="00D4497D"/>
    <w:rsid w:val="00D45282"/>
    <w:rsid w:val="00D46572"/>
    <w:rsid w:val="00D526B3"/>
    <w:rsid w:val="00D55832"/>
    <w:rsid w:val="00D561CF"/>
    <w:rsid w:val="00D622C5"/>
    <w:rsid w:val="00D748A6"/>
    <w:rsid w:val="00D807B1"/>
    <w:rsid w:val="00D8328B"/>
    <w:rsid w:val="00D8382E"/>
    <w:rsid w:val="00D94400"/>
    <w:rsid w:val="00D94FC0"/>
    <w:rsid w:val="00D957B4"/>
    <w:rsid w:val="00DA39B8"/>
    <w:rsid w:val="00DC016C"/>
    <w:rsid w:val="00DC2164"/>
    <w:rsid w:val="00DD4083"/>
    <w:rsid w:val="00DD7B99"/>
    <w:rsid w:val="00DE33DA"/>
    <w:rsid w:val="00DE51F9"/>
    <w:rsid w:val="00DE5D90"/>
    <w:rsid w:val="00DE71DB"/>
    <w:rsid w:val="00DF0151"/>
    <w:rsid w:val="00E00F36"/>
    <w:rsid w:val="00E04F3C"/>
    <w:rsid w:val="00E07F08"/>
    <w:rsid w:val="00E12FA5"/>
    <w:rsid w:val="00E1650A"/>
    <w:rsid w:val="00E2480E"/>
    <w:rsid w:val="00E25180"/>
    <w:rsid w:val="00E254EC"/>
    <w:rsid w:val="00E30B1A"/>
    <w:rsid w:val="00E34B03"/>
    <w:rsid w:val="00E37143"/>
    <w:rsid w:val="00E37252"/>
    <w:rsid w:val="00E37D39"/>
    <w:rsid w:val="00E43E2D"/>
    <w:rsid w:val="00E47202"/>
    <w:rsid w:val="00E55E8E"/>
    <w:rsid w:val="00E56AB6"/>
    <w:rsid w:val="00E62852"/>
    <w:rsid w:val="00E73380"/>
    <w:rsid w:val="00E818ED"/>
    <w:rsid w:val="00E84353"/>
    <w:rsid w:val="00EA085F"/>
    <w:rsid w:val="00EA3507"/>
    <w:rsid w:val="00EB65FE"/>
    <w:rsid w:val="00EC4F28"/>
    <w:rsid w:val="00EC5BC4"/>
    <w:rsid w:val="00ED174D"/>
    <w:rsid w:val="00ED26FC"/>
    <w:rsid w:val="00EF4005"/>
    <w:rsid w:val="00EF5774"/>
    <w:rsid w:val="00EF6510"/>
    <w:rsid w:val="00F00E91"/>
    <w:rsid w:val="00F1205E"/>
    <w:rsid w:val="00F12944"/>
    <w:rsid w:val="00F12AFA"/>
    <w:rsid w:val="00F177FC"/>
    <w:rsid w:val="00F23267"/>
    <w:rsid w:val="00F31E36"/>
    <w:rsid w:val="00F42670"/>
    <w:rsid w:val="00F434C3"/>
    <w:rsid w:val="00F54499"/>
    <w:rsid w:val="00F54F8A"/>
    <w:rsid w:val="00F6469A"/>
    <w:rsid w:val="00F650F7"/>
    <w:rsid w:val="00F65436"/>
    <w:rsid w:val="00F70A88"/>
    <w:rsid w:val="00F71D39"/>
    <w:rsid w:val="00F74F98"/>
    <w:rsid w:val="00F77438"/>
    <w:rsid w:val="00F84752"/>
    <w:rsid w:val="00F90CB0"/>
    <w:rsid w:val="00FA533A"/>
    <w:rsid w:val="00FA69CE"/>
    <w:rsid w:val="00FB022F"/>
    <w:rsid w:val="00FB6501"/>
    <w:rsid w:val="00FB7001"/>
    <w:rsid w:val="00FC377A"/>
    <w:rsid w:val="00FC4AE5"/>
    <w:rsid w:val="00FC5D14"/>
    <w:rsid w:val="00FE5470"/>
    <w:rsid w:val="00FE6A1E"/>
    <w:rsid w:val="00FF0A9C"/>
    <w:rsid w:val="00FF28A0"/>
    <w:rsid w:val="00FF3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AAD8D8"/>
  <w15:docId w15:val="{1374CDE5-C6F7-482D-991B-B03EB842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7A8"/>
  </w:style>
  <w:style w:type="paragraph" w:styleId="Heading1">
    <w:name w:val="heading 1"/>
    <w:basedOn w:val="Normal"/>
    <w:next w:val="Normal"/>
    <w:link w:val="Heading1Char"/>
    <w:uiPriority w:val="9"/>
    <w:qFormat/>
    <w:rsid w:val="00AA393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393E"/>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A87"/>
    <w:rPr>
      <w:rFonts w:ascii="Tahoma" w:hAnsi="Tahoma" w:cs="Tahoma"/>
      <w:sz w:val="16"/>
      <w:szCs w:val="16"/>
    </w:rPr>
  </w:style>
  <w:style w:type="paragraph" w:styleId="ListParagraph">
    <w:name w:val="List Paragraph"/>
    <w:basedOn w:val="Normal"/>
    <w:uiPriority w:val="34"/>
    <w:qFormat/>
    <w:rsid w:val="003B27DB"/>
    <w:pPr>
      <w:ind w:left="720"/>
      <w:contextualSpacing/>
    </w:pPr>
  </w:style>
  <w:style w:type="character" w:styleId="CommentReference">
    <w:name w:val="annotation reference"/>
    <w:basedOn w:val="DefaultParagraphFont"/>
    <w:uiPriority w:val="99"/>
    <w:semiHidden/>
    <w:unhideWhenUsed/>
    <w:rsid w:val="00B16B49"/>
    <w:rPr>
      <w:sz w:val="16"/>
      <w:szCs w:val="16"/>
    </w:rPr>
  </w:style>
  <w:style w:type="paragraph" w:styleId="CommentText">
    <w:name w:val="annotation text"/>
    <w:basedOn w:val="Normal"/>
    <w:link w:val="CommentTextChar"/>
    <w:uiPriority w:val="99"/>
    <w:semiHidden/>
    <w:unhideWhenUsed/>
    <w:rsid w:val="00B16B49"/>
    <w:pPr>
      <w:spacing w:line="240" w:lineRule="auto"/>
    </w:pPr>
    <w:rPr>
      <w:sz w:val="20"/>
      <w:szCs w:val="20"/>
    </w:rPr>
  </w:style>
  <w:style w:type="character" w:customStyle="1" w:styleId="CommentTextChar">
    <w:name w:val="Comment Text Char"/>
    <w:basedOn w:val="DefaultParagraphFont"/>
    <w:link w:val="CommentText"/>
    <w:uiPriority w:val="99"/>
    <w:semiHidden/>
    <w:rsid w:val="00B16B49"/>
    <w:rPr>
      <w:sz w:val="20"/>
      <w:szCs w:val="20"/>
    </w:rPr>
  </w:style>
  <w:style w:type="paragraph" w:styleId="CommentSubject">
    <w:name w:val="annotation subject"/>
    <w:basedOn w:val="CommentText"/>
    <w:next w:val="CommentText"/>
    <w:link w:val="CommentSubjectChar"/>
    <w:uiPriority w:val="99"/>
    <w:semiHidden/>
    <w:unhideWhenUsed/>
    <w:rsid w:val="00B16B49"/>
    <w:rPr>
      <w:b/>
      <w:bCs/>
    </w:rPr>
  </w:style>
  <w:style w:type="character" w:customStyle="1" w:styleId="CommentSubjectChar">
    <w:name w:val="Comment Subject Char"/>
    <w:basedOn w:val="CommentTextChar"/>
    <w:link w:val="CommentSubject"/>
    <w:uiPriority w:val="99"/>
    <w:semiHidden/>
    <w:rsid w:val="00B16B49"/>
    <w:rPr>
      <w:b/>
      <w:bCs/>
      <w:sz w:val="20"/>
      <w:szCs w:val="20"/>
    </w:rPr>
  </w:style>
  <w:style w:type="paragraph" w:styleId="Revision">
    <w:name w:val="Revision"/>
    <w:hidden/>
    <w:uiPriority w:val="99"/>
    <w:semiHidden/>
    <w:rsid w:val="00B16B49"/>
    <w:pPr>
      <w:spacing w:after="0" w:line="240" w:lineRule="auto"/>
    </w:pPr>
  </w:style>
  <w:style w:type="character" w:styleId="Hyperlink">
    <w:name w:val="Hyperlink"/>
    <w:basedOn w:val="DefaultParagraphFont"/>
    <w:uiPriority w:val="99"/>
    <w:unhideWhenUsed/>
    <w:rsid w:val="007F261D"/>
    <w:rPr>
      <w:color w:val="0000FF" w:themeColor="hyperlink"/>
      <w:u w:val="single"/>
    </w:rPr>
  </w:style>
  <w:style w:type="paragraph" w:styleId="Header">
    <w:name w:val="header"/>
    <w:basedOn w:val="Normal"/>
    <w:link w:val="HeaderChar"/>
    <w:uiPriority w:val="99"/>
    <w:unhideWhenUsed/>
    <w:rsid w:val="00FE5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470"/>
  </w:style>
  <w:style w:type="paragraph" w:styleId="Footer">
    <w:name w:val="footer"/>
    <w:basedOn w:val="Normal"/>
    <w:link w:val="FooterChar"/>
    <w:uiPriority w:val="99"/>
    <w:unhideWhenUsed/>
    <w:rsid w:val="00FE5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470"/>
  </w:style>
  <w:style w:type="character" w:customStyle="1" w:styleId="Heading1Char">
    <w:name w:val="Heading 1 Char"/>
    <w:basedOn w:val="DefaultParagraphFont"/>
    <w:link w:val="Heading1"/>
    <w:uiPriority w:val="9"/>
    <w:rsid w:val="00AA393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393E"/>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84308A"/>
    <w:rPr>
      <w:color w:val="800080" w:themeColor="followedHyperlink"/>
      <w:u w:val="single"/>
    </w:rPr>
  </w:style>
  <w:style w:type="character" w:customStyle="1" w:styleId="gfsc-rtestyle-bodyemphasisblack">
    <w:name w:val="gfsc-rtestyle-bodyemphasisblack"/>
    <w:basedOn w:val="DefaultParagraphFont"/>
    <w:rsid w:val="00E2480E"/>
  </w:style>
  <w:style w:type="paragraph" w:styleId="FootnoteText">
    <w:name w:val="footnote text"/>
    <w:basedOn w:val="Normal"/>
    <w:link w:val="FootnoteTextChar"/>
    <w:uiPriority w:val="99"/>
    <w:semiHidden/>
    <w:unhideWhenUsed/>
    <w:rsid w:val="00633E17"/>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33E1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33E17"/>
    <w:rPr>
      <w:vertAlign w:val="superscript"/>
    </w:rPr>
  </w:style>
  <w:style w:type="paragraph" w:customStyle="1" w:styleId="Default">
    <w:name w:val="Default"/>
    <w:link w:val="DefaultChar"/>
    <w:rsid w:val="004B36E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3050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9B3941"/>
    <w:rPr>
      <w:rFonts w:ascii="Times New Roman" w:hAnsi="Times New Roman" w:cs="Times New Roman"/>
      <w:color w:val="000000"/>
      <w:sz w:val="24"/>
      <w:szCs w:val="24"/>
    </w:rPr>
  </w:style>
  <w:style w:type="paragraph" w:customStyle="1" w:styleId="BulletedList">
    <w:name w:val="Bulleted List"/>
    <w:basedOn w:val="ListParagraph"/>
    <w:link w:val="BulletedListChar"/>
    <w:qFormat/>
    <w:rsid w:val="00B22AA2"/>
    <w:pPr>
      <w:numPr>
        <w:numId w:val="16"/>
      </w:numPr>
      <w:spacing w:before="120" w:after="120" w:line="300" w:lineRule="atLeast"/>
      <w:jc w:val="both"/>
    </w:pPr>
  </w:style>
  <w:style w:type="character" w:customStyle="1" w:styleId="BulletedListChar">
    <w:name w:val="Bulleted List Char"/>
    <w:basedOn w:val="DefaultParagraphFont"/>
    <w:link w:val="BulletedList"/>
    <w:rsid w:val="00B22AA2"/>
  </w:style>
  <w:style w:type="paragraph" w:customStyle="1" w:styleId="NUMBERPARA">
    <w:name w:val="NUMBER PARA"/>
    <w:basedOn w:val="NoSpacing"/>
    <w:link w:val="NUMBERPARAChar"/>
    <w:qFormat/>
    <w:rsid w:val="00B22AA2"/>
    <w:pPr>
      <w:numPr>
        <w:numId w:val="17"/>
      </w:numPr>
      <w:spacing w:before="120" w:after="120" w:line="300" w:lineRule="atLeast"/>
      <w:jc w:val="both"/>
    </w:pPr>
  </w:style>
  <w:style w:type="character" w:customStyle="1" w:styleId="NUMBERPARAChar">
    <w:name w:val="NUMBER PARA Char"/>
    <w:basedOn w:val="DefaultParagraphFont"/>
    <w:link w:val="NUMBERPARA"/>
    <w:rsid w:val="00B22AA2"/>
  </w:style>
  <w:style w:type="paragraph" w:styleId="NoSpacing">
    <w:name w:val="No Spacing"/>
    <w:uiPriority w:val="1"/>
    <w:qFormat/>
    <w:rsid w:val="00B22AA2"/>
    <w:pPr>
      <w:spacing w:after="0" w:line="240" w:lineRule="auto"/>
    </w:pPr>
  </w:style>
  <w:style w:type="paragraph" w:styleId="NormalWeb">
    <w:name w:val="Normal (Web)"/>
    <w:basedOn w:val="Normal"/>
    <w:uiPriority w:val="99"/>
    <w:semiHidden/>
    <w:unhideWhenUsed/>
    <w:rsid w:val="001803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5733">
      <w:bodyDiv w:val="1"/>
      <w:marLeft w:val="0"/>
      <w:marRight w:val="0"/>
      <w:marTop w:val="0"/>
      <w:marBottom w:val="0"/>
      <w:divBdr>
        <w:top w:val="none" w:sz="0" w:space="0" w:color="auto"/>
        <w:left w:val="none" w:sz="0" w:space="0" w:color="auto"/>
        <w:bottom w:val="none" w:sz="0" w:space="0" w:color="auto"/>
        <w:right w:val="none" w:sz="0" w:space="0" w:color="auto"/>
      </w:divBdr>
    </w:div>
    <w:div w:id="280763730">
      <w:bodyDiv w:val="1"/>
      <w:marLeft w:val="0"/>
      <w:marRight w:val="0"/>
      <w:marTop w:val="0"/>
      <w:marBottom w:val="0"/>
      <w:divBdr>
        <w:top w:val="none" w:sz="0" w:space="0" w:color="auto"/>
        <w:left w:val="none" w:sz="0" w:space="0" w:color="auto"/>
        <w:bottom w:val="none" w:sz="0" w:space="0" w:color="auto"/>
        <w:right w:val="none" w:sz="0" w:space="0" w:color="auto"/>
      </w:divBdr>
    </w:div>
    <w:div w:id="339818838">
      <w:bodyDiv w:val="1"/>
      <w:marLeft w:val="0"/>
      <w:marRight w:val="0"/>
      <w:marTop w:val="0"/>
      <w:marBottom w:val="0"/>
      <w:divBdr>
        <w:top w:val="none" w:sz="0" w:space="0" w:color="auto"/>
        <w:left w:val="none" w:sz="0" w:space="0" w:color="auto"/>
        <w:bottom w:val="none" w:sz="0" w:space="0" w:color="auto"/>
        <w:right w:val="none" w:sz="0" w:space="0" w:color="auto"/>
      </w:divBdr>
    </w:div>
    <w:div w:id="352195805">
      <w:bodyDiv w:val="1"/>
      <w:marLeft w:val="0"/>
      <w:marRight w:val="0"/>
      <w:marTop w:val="0"/>
      <w:marBottom w:val="0"/>
      <w:divBdr>
        <w:top w:val="none" w:sz="0" w:space="0" w:color="auto"/>
        <w:left w:val="none" w:sz="0" w:space="0" w:color="auto"/>
        <w:bottom w:val="none" w:sz="0" w:space="0" w:color="auto"/>
        <w:right w:val="none" w:sz="0" w:space="0" w:color="auto"/>
      </w:divBdr>
    </w:div>
    <w:div w:id="581060878">
      <w:bodyDiv w:val="1"/>
      <w:marLeft w:val="0"/>
      <w:marRight w:val="0"/>
      <w:marTop w:val="0"/>
      <w:marBottom w:val="0"/>
      <w:divBdr>
        <w:top w:val="none" w:sz="0" w:space="0" w:color="auto"/>
        <w:left w:val="none" w:sz="0" w:space="0" w:color="auto"/>
        <w:bottom w:val="none" w:sz="0" w:space="0" w:color="auto"/>
        <w:right w:val="none" w:sz="0" w:space="0" w:color="auto"/>
      </w:divBdr>
    </w:div>
    <w:div w:id="660277997">
      <w:bodyDiv w:val="1"/>
      <w:marLeft w:val="0"/>
      <w:marRight w:val="0"/>
      <w:marTop w:val="0"/>
      <w:marBottom w:val="0"/>
      <w:divBdr>
        <w:top w:val="none" w:sz="0" w:space="0" w:color="auto"/>
        <w:left w:val="none" w:sz="0" w:space="0" w:color="auto"/>
        <w:bottom w:val="none" w:sz="0" w:space="0" w:color="auto"/>
        <w:right w:val="none" w:sz="0" w:space="0" w:color="auto"/>
      </w:divBdr>
    </w:div>
    <w:div w:id="749695314">
      <w:bodyDiv w:val="1"/>
      <w:marLeft w:val="0"/>
      <w:marRight w:val="0"/>
      <w:marTop w:val="0"/>
      <w:marBottom w:val="0"/>
      <w:divBdr>
        <w:top w:val="none" w:sz="0" w:space="0" w:color="auto"/>
        <w:left w:val="none" w:sz="0" w:space="0" w:color="auto"/>
        <w:bottom w:val="none" w:sz="0" w:space="0" w:color="auto"/>
        <w:right w:val="none" w:sz="0" w:space="0" w:color="auto"/>
      </w:divBdr>
      <w:divsChild>
        <w:div w:id="1554660494">
          <w:marLeft w:val="0"/>
          <w:marRight w:val="0"/>
          <w:marTop w:val="0"/>
          <w:marBottom w:val="0"/>
          <w:divBdr>
            <w:top w:val="none" w:sz="0" w:space="0" w:color="auto"/>
            <w:left w:val="none" w:sz="0" w:space="0" w:color="auto"/>
            <w:bottom w:val="none" w:sz="0" w:space="0" w:color="auto"/>
            <w:right w:val="none" w:sz="0" w:space="0" w:color="auto"/>
          </w:divBdr>
          <w:divsChild>
            <w:div w:id="1534534808">
              <w:marLeft w:val="0"/>
              <w:marRight w:val="0"/>
              <w:marTop w:val="0"/>
              <w:marBottom w:val="0"/>
              <w:divBdr>
                <w:top w:val="none" w:sz="0" w:space="0" w:color="auto"/>
                <w:left w:val="none" w:sz="0" w:space="0" w:color="auto"/>
                <w:bottom w:val="none" w:sz="0" w:space="0" w:color="auto"/>
                <w:right w:val="none" w:sz="0" w:space="0" w:color="auto"/>
              </w:divBdr>
              <w:divsChild>
                <w:div w:id="1766880834">
                  <w:marLeft w:val="0"/>
                  <w:marRight w:val="0"/>
                  <w:marTop w:val="0"/>
                  <w:marBottom w:val="0"/>
                  <w:divBdr>
                    <w:top w:val="none" w:sz="0" w:space="0" w:color="auto"/>
                    <w:left w:val="none" w:sz="0" w:space="0" w:color="auto"/>
                    <w:bottom w:val="none" w:sz="0" w:space="0" w:color="auto"/>
                    <w:right w:val="none" w:sz="0" w:space="0" w:color="auto"/>
                  </w:divBdr>
                  <w:divsChild>
                    <w:div w:id="711074384">
                      <w:marLeft w:val="0"/>
                      <w:marRight w:val="0"/>
                      <w:marTop w:val="0"/>
                      <w:marBottom w:val="0"/>
                      <w:divBdr>
                        <w:top w:val="none" w:sz="0" w:space="0" w:color="auto"/>
                        <w:left w:val="none" w:sz="0" w:space="0" w:color="auto"/>
                        <w:bottom w:val="none" w:sz="0" w:space="0" w:color="auto"/>
                        <w:right w:val="none" w:sz="0" w:space="0" w:color="auto"/>
                      </w:divBdr>
                      <w:divsChild>
                        <w:div w:id="1469779236">
                          <w:marLeft w:val="0"/>
                          <w:marRight w:val="0"/>
                          <w:marTop w:val="0"/>
                          <w:marBottom w:val="0"/>
                          <w:divBdr>
                            <w:top w:val="none" w:sz="0" w:space="0" w:color="auto"/>
                            <w:left w:val="none" w:sz="0" w:space="0" w:color="auto"/>
                            <w:bottom w:val="none" w:sz="0" w:space="0" w:color="auto"/>
                            <w:right w:val="none" w:sz="0" w:space="0" w:color="auto"/>
                          </w:divBdr>
                          <w:divsChild>
                            <w:div w:id="39980258">
                              <w:marLeft w:val="0"/>
                              <w:marRight w:val="0"/>
                              <w:marTop w:val="0"/>
                              <w:marBottom w:val="0"/>
                              <w:divBdr>
                                <w:top w:val="none" w:sz="0" w:space="0" w:color="auto"/>
                                <w:left w:val="none" w:sz="0" w:space="0" w:color="auto"/>
                                <w:bottom w:val="none" w:sz="0" w:space="0" w:color="auto"/>
                                <w:right w:val="none" w:sz="0" w:space="0" w:color="auto"/>
                              </w:divBdr>
                              <w:divsChild>
                                <w:div w:id="1316684026">
                                  <w:marLeft w:val="0"/>
                                  <w:marRight w:val="0"/>
                                  <w:marTop w:val="0"/>
                                  <w:marBottom w:val="0"/>
                                  <w:divBdr>
                                    <w:top w:val="none" w:sz="0" w:space="0" w:color="auto"/>
                                    <w:left w:val="none" w:sz="0" w:space="0" w:color="auto"/>
                                    <w:bottom w:val="none" w:sz="0" w:space="0" w:color="auto"/>
                                    <w:right w:val="none" w:sz="0" w:space="0" w:color="auto"/>
                                  </w:divBdr>
                                  <w:divsChild>
                                    <w:div w:id="1002004669">
                                      <w:marLeft w:val="0"/>
                                      <w:marRight w:val="0"/>
                                      <w:marTop w:val="0"/>
                                      <w:marBottom w:val="0"/>
                                      <w:divBdr>
                                        <w:top w:val="none" w:sz="0" w:space="0" w:color="auto"/>
                                        <w:left w:val="none" w:sz="0" w:space="0" w:color="auto"/>
                                        <w:bottom w:val="none" w:sz="0" w:space="0" w:color="auto"/>
                                        <w:right w:val="none" w:sz="0" w:space="0" w:color="auto"/>
                                      </w:divBdr>
                                      <w:divsChild>
                                        <w:div w:id="18681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041306">
      <w:bodyDiv w:val="1"/>
      <w:marLeft w:val="0"/>
      <w:marRight w:val="0"/>
      <w:marTop w:val="0"/>
      <w:marBottom w:val="0"/>
      <w:divBdr>
        <w:top w:val="none" w:sz="0" w:space="0" w:color="auto"/>
        <w:left w:val="none" w:sz="0" w:space="0" w:color="auto"/>
        <w:bottom w:val="none" w:sz="0" w:space="0" w:color="auto"/>
        <w:right w:val="none" w:sz="0" w:space="0" w:color="auto"/>
      </w:divBdr>
      <w:divsChild>
        <w:div w:id="723407491">
          <w:marLeft w:val="0"/>
          <w:marRight w:val="0"/>
          <w:marTop w:val="0"/>
          <w:marBottom w:val="0"/>
          <w:divBdr>
            <w:top w:val="none" w:sz="0" w:space="0" w:color="auto"/>
            <w:left w:val="none" w:sz="0" w:space="0" w:color="auto"/>
            <w:bottom w:val="none" w:sz="0" w:space="0" w:color="auto"/>
            <w:right w:val="none" w:sz="0" w:space="0" w:color="auto"/>
          </w:divBdr>
        </w:div>
        <w:div w:id="232159488">
          <w:marLeft w:val="0"/>
          <w:marRight w:val="0"/>
          <w:marTop w:val="0"/>
          <w:marBottom w:val="0"/>
          <w:divBdr>
            <w:top w:val="none" w:sz="0" w:space="0" w:color="auto"/>
            <w:left w:val="none" w:sz="0" w:space="0" w:color="auto"/>
            <w:bottom w:val="none" w:sz="0" w:space="0" w:color="auto"/>
            <w:right w:val="none" w:sz="0" w:space="0" w:color="auto"/>
          </w:divBdr>
        </w:div>
        <w:div w:id="1114640646">
          <w:marLeft w:val="0"/>
          <w:marRight w:val="0"/>
          <w:marTop w:val="0"/>
          <w:marBottom w:val="0"/>
          <w:divBdr>
            <w:top w:val="none" w:sz="0" w:space="0" w:color="auto"/>
            <w:left w:val="none" w:sz="0" w:space="0" w:color="auto"/>
            <w:bottom w:val="none" w:sz="0" w:space="0" w:color="auto"/>
            <w:right w:val="none" w:sz="0" w:space="0" w:color="auto"/>
          </w:divBdr>
          <w:divsChild>
            <w:div w:id="6059945">
              <w:marLeft w:val="0"/>
              <w:marRight w:val="0"/>
              <w:marTop w:val="0"/>
              <w:marBottom w:val="0"/>
              <w:divBdr>
                <w:top w:val="none" w:sz="0" w:space="0" w:color="auto"/>
                <w:left w:val="none" w:sz="0" w:space="0" w:color="auto"/>
                <w:bottom w:val="single" w:sz="6" w:space="0" w:color="CAD2DB"/>
                <w:right w:val="none" w:sz="0" w:space="0" w:color="auto"/>
              </w:divBdr>
              <w:divsChild>
                <w:div w:id="16590137">
                  <w:marLeft w:val="0"/>
                  <w:marRight w:val="0"/>
                  <w:marTop w:val="285"/>
                  <w:marBottom w:val="0"/>
                  <w:divBdr>
                    <w:top w:val="none" w:sz="0" w:space="0" w:color="auto"/>
                    <w:left w:val="none" w:sz="0" w:space="0" w:color="auto"/>
                    <w:bottom w:val="none" w:sz="0" w:space="0" w:color="auto"/>
                    <w:right w:val="none" w:sz="0" w:space="0" w:color="auto"/>
                  </w:divBdr>
                  <w:divsChild>
                    <w:div w:id="1135487222">
                      <w:marLeft w:val="0"/>
                      <w:marRight w:val="0"/>
                      <w:marTop w:val="0"/>
                      <w:marBottom w:val="0"/>
                      <w:divBdr>
                        <w:top w:val="none" w:sz="0" w:space="0" w:color="auto"/>
                        <w:left w:val="none" w:sz="0" w:space="0" w:color="auto"/>
                        <w:bottom w:val="none" w:sz="0" w:space="0" w:color="auto"/>
                        <w:right w:val="none" w:sz="0" w:space="0" w:color="auto"/>
                      </w:divBdr>
                      <w:divsChild>
                        <w:div w:id="729614839">
                          <w:marLeft w:val="0"/>
                          <w:marRight w:val="-225"/>
                          <w:marTop w:val="0"/>
                          <w:marBottom w:val="75"/>
                          <w:divBdr>
                            <w:top w:val="none" w:sz="0" w:space="0" w:color="auto"/>
                            <w:left w:val="none" w:sz="0" w:space="0" w:color="auto"/>
                            <w:bottom w:val="dashed" w:sz="6" w:space="4" w:color="auto"/>
                            <w:right w:val="none" w:sz="0" w:space="0" w:color="auto"/>
                          </w:divBdr>
                        </w:div>
                      </w:divsChild>
                    </w:div>
                  </w:divsChild>
                </w:div>
              </w:divsChild>
            </w:div>
          </w:divsChild>
        </w:div>
        <w:div w:id="583997216">
          <w:marLeft w:val="0"/>
          <w:marRight w:val="0"/>
          <w:marTop w:val="0"/>
          <w:marBottom w:val="0"/>
          <w:divBdr>
            <w:top w:val="none" w:sz="0" w:space="0" w:color="auto"/>
            <w:left w:val="none" w:sz="0" w:space="0" w:color="auto"/>
            <w:bottom w:val="none" w:sz="0" w:space="0" w:color="auto"/>
            <w:right w:val="none" w:sz="0" w:space="0" w:color="auto"/>
          </w:divBdr>
          <w:divsChild>
            <w:div w:id="1257788780">
              <w:marLeft w:val="0"/>
              <w:marRight w:val="0"/>
              <w:marTop w:val="0"/>
              <w:marBottom w:val="0"/>
              <w:divBdr>
                <w:top w:val="none" w:sz="0" w:space="0" w:color="auto"/>
                <w:left w:val="none" w:sz="0" w:space="0" w:color="auto"/>
                <w:bottom w:val="none" w:sz="0" w:space="0" w:color="auto"/>
                <w:right w:val="none" w:sz="0" w:space="0" w:color="auto"/>
              </w:divBdr>
              <w:divsChild>
                <w:div w:id="1671518009">
                  <w:marLeft w:val="0"/>
                  <w:marRight w:val="0"/>
                  <w:marTop w:val="0"/>
                  <w:marBottom w:val="0"/>
                  <w:divBdr>
                    <w:top w:val="none" w:sz="0" w:space="0" w:color="auto"/>
                    <w:left w:val="none" w:sz="0" w:space="0" w:color="auto"/>
                    <w:bottom w:val="none" w:sz="0" w:space="0" w:color="auto"/>
                    <w:right w:val="none" w:sz="0" w:space="0" w:color="auto"/>
                  </w:divBdr>
                  <w:divsChild>
                    <w:div w:id="186334344">
                      <w:marLeft w:val="0"/>
                      <w:marRight w:val="0"/>
                      <w:marTop w:val="0"/>
                      <w:marBottom w:val="0"/>
                      <w:divBdr>
                        <w:top w:val="none" w:sz="0" w:space="0" w:color="auto"/>
                        <w:left w:val="none" w:sz="0" w:space="0" w:color="auto"/>
                        <w:bottom w:val="none" w:sz="0" w:space="0" w:color="auto"/>
                        <w:right w:val="none" w:sz="0" w:space="0" w:color="auto"/>
                      </w:divBdr>
                      <w:divsChild>
                        <w:div w:id="353919956">
                          <w:marLeft w:val="0"/>
                          <w:marRight w:val="0"/>
                          <w:marTop w:val="0"/>
                          <w:marBottom w:val="0"/>
                          <w:divBdr>
                            <w:top w:val="none" w:sz="0" w:space="0" w:color="auto"/>
                            <w:left w:val="none" w:sz="0" w:space="0" w:color="auto"/>
                            <w:bottom w:val="none" w:sz="0" w:space="0" w:color="auto"/>
                            <w:right w:val="none" w:sz="0" w:space="0" w:color="auto"/>
                          </w:divBdr>
                        </w:div>
                        <w:div w:id="2042124349">
                          <w:marLeft w:val="0"/>
                          <w:marRight w:val="0"/>
                          <w:marTop w:val="0"/>
                          <w:marBottom w:val="0"/>
                          <w:divBdr>
                            <w:top w:val="none" w:sz="0" w:space="0" w:color="auto"/>
                            <w:left w:val="none" w:sz="0" w:space="0" w:color="auto"/>
                            <w:bottom w:val="none" w:sz="0" w:space="0" w:color="auto"/>
                            <w:right w:val="none" w:sz="0" w:space="0" w:color="auto"/>
                          </w:divBdr>
                          <w:divsChild>
                            <w:div w:id="591624996">
                              <w:marLeft w:val="0"/>
                              <w:marRight w:val="0"/>
                              <w:marTop w:val="0"/>
                              <w:marBottom w:val="0"/>
                              <w:divBdr>
                                <w:top w:val="none" w:sz="0" w:space="0" w:color="auto"/>
                                <w:left w:val="none" w:sz="0" w:space="0" w:color="auto"/>
                                <w:bottom w:val="none" w:sz="0" w:space="0" w:color="auto"/>
                                <w:right w:val="none" w:sz="0" w:space="0" w:color="auto"/>
                              </w:divBdr>
                              <w:divsChild>
                                <w:div w:id="1050306174">
                                  <w:marLeft w:val="0"/>
                                  <w:marRight w:val="0"/>
                                  <w:marTop w:val="0"/>
                                  <w:marBottom w:val="0"/>
                                  <w:divBdr>
                                    <w:top w:val="none" w:sz="0" w:space="0" w:color="auto"/>
                                    <w:left w:val="none" w:sz="0" w:space="0" w:color="auto"/>
                                    <w:bottom w:val="none" w:sz="0" w:space="0" w:color="auto"/>
                                    <w:right w:val="none" w:sz="0" w:space="0" w:color="auto"/>
                                  </w:divBdr>
                                  <w:divsChild>
                                    <w:div w:id="35330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1424">
                          <w:marLeft w:val="0"/>
                          <w:marRight w:val="0"/>
                          <w:marTop w:val="0"/>
                          <w:marBottom w:val="0"/>
                          <w:divBdr>
                            <w:top w:val="none" w:sz="0" w:space="0" w:color="auto"/>
                            <w:left w:val="none" w:sz="0" w:space="0" w:color="auto"/>
                            <w:bottom w:val="none" w:sz="0" w:space="0" w:color="auto"/>
                            <w:right w:val="none" w:sz="0" w:space="0" w:color="auto"/>
                          </w:divBdr>
                        </w:div>
                        <w:div w:id="1109197801">
                          <w:marLeft w:val="0"/>
                          <w:marRight w:val="0"/>
                          <w:marTop w:val="0"/>
                          <w:marBottom w:val="0"/>
                          <w:divBdr>
                            <w:top w:val="none" w:sz="0" w:space="0" w:color="auto"/>
                            <w:left w:val="none" w:sz="0" w:space="0" w:color="auto"/>
                            <w:bottom w:val="none" w:sz="0" w:space="0" w:color="auto"/>
                            <w:right w:val="none" w:sz="0" w:space="0" w:color="auto"/>
                          </w:divBdr>
                          <w:divsChild>
                            <w:div w:id="976451901">
                              <w:marLeft w:val="0"/>
                              <w:marRight w:val="0"/>
                              <w:marTop w:val="0"/>
                              <w:marBottom w:val="0"/>
                              <w:divBdr>
                                <w:top w:val="none" w:sz="0" w:space="0" w:color="auto"/>
                                <w:left w:val="none" w:sz="0" w:space="0" w:color="auto"/>
                                <w:bottom w:val="none" w:sz="0" w:space="0" w:color="auto"/>
                                <w:right w:val="none" w:sz="0" w:space="0" w:color="auto"/>
                              </w:divBdr>
                              <w:divsChild>
                                <w:div w:id="13946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37665">
                      <w:marLeft w:val="0"/>
                      <w:marRight w:val="0"/>
                      <w:marTop w:val="0"/>
                      <w:marBottom w:val="0"/>
                      <w:divBdr>
                        <w:top w:val="none" w:sz="0" w:space="0" w:color="auto"/>
                        <w:left w:val="none" w:sz="0" w:space="0" w:color="auto"/>
                        <w:bottom w:val="none" w:sz="0" w:space="0" w:color="auto"/>
                        <w:right w:val="none" w:sz="0" w:space="0" w:color="auto"/>
                      </w:divBdr>
                    </w:div>
                    <w:div w:id="1534684875">
                      <w:marLeft w:val="0"/>
                      <w:marRight w:val="0"/>
                      <w:marTop w:val="0"/>
                      <w:marBottom w:val="0"/>
                      <w:divBdr>
                        <w:top w:val="none" w:sz="0" w:space="0" w:color="auto"/>
                        <w:left w:val="none" w:sz="0" w:space="0" w:color="auto"/>
                        <w:bottom w:val="none" w:sz="0" w:space="0" w:color="auto"/>
                        <w:right w:val="none" w:sz="0" w:space="0" w:color="auto"/>
                      </w:divBdr>
                      <w:divsChild>
                        <w:div w:id="403181490">
                          <w:marLeft w:val="0"/>
                          <w:marRight w:val="0"/>
                          <w:marTop w:val="0"/>
                          <w:marBottom w:val="0"/>
                          <w:divBdr>
                            <w:top w:val="none" w:sz="0" w:space="0" w:color="auto"/>
                            <w:left w:val="none" w:sz="0" w:space="0" w:color="auto"/>
                            <w:bottom w:val="none" w:sz="0" w:space="0" w:color="auto"/>
                            <w:right w:val="none" w:sz="0" w:space="0" w:color="auto"/>
                          </w:divBdr>
                          <w:divsChild>
                            <w:div w:id="727726814">
                              <w:marLeft w:val="0"/>
                              <w:marRight w:val="0"/>
                              <w:marTop w:val="0"/>
                              <w:marBottom w:val="0"/>
                              <w:divBdr>
                                <w:top w:val="none" w:sz="0" w:space="0" w:color="auto"/>
                                <w:left w:val="none" w:sz="0" w:space="0" w:color="auto"/>
                                <w:bottom w:val="none" w:sz="0" w:space="0" w:color="auto"/>
                                <w:right w:val="none" w:sz="0" w:space="0" w:color="auto"/>
                              </w:divBdr>
                            </w:div>
                            <w:div w:id="600379594">
                              <w:marLeft w:val="0"/>
                              <w:marRight w:val="0"/>
                              <w:marTop w:val="0"/>
                              <w:marBottom w:val="0"/>
                              <w:divBdr>
                                <w:top w:val="none" w:sz="0" w:space="0" w:color="auto"/>
                                <w:left w:val="none" w:sz="0" w:space="0" w:color="auto"/>
                                <w:bottom w:val="none" w:sz="0" w:space="0" w:color="auto"/>
                                <w:right w:val="none" w:sz="0" w:space="0" w:color="auto"/>
                              </w:divBdr>
                              <w:divsChild>
                                <w:div w:id="1207066014">
                                  <w:marLeft w:val="0"/>
                                  <w:marRight w:val="0"/>
                                  <w:marTop w:val="0"/>
                                  <w:marBottom w:val="0"/>
                                  <w:divBdr>
                                    <w:top w:val="none" w:sz="0" w:space="0" w:color="auto"/>
                                    <w:left w:val="none" w:sz="0" w:space="0" w:color="auto"/>
                                    <w:bottom w:val="none" w:sz="0" w:space="0" w:color="auto"/>
                                    <w:right w:val="none" w:sz="0" w:space="0" w:color="auto"/>
                                  </w:divBdr>
                                  <w:divsChild>
                                    <w:div w:id="12862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22066">
                          <w:marLeft w:val="0"/>
                          <w:marRight w:val="0"/>
                          <w:marTop w:val="0"/>
                          <w:marBottom w:val="0"/>
                          <w:divBdr>
                            <w:top w:val="none" w:sz="0" w:space="0" w:color="auto"/>
                            <w:left w:val="none" w:sz="0" w:space="0" w:color="auto"/>
                            <w:bottom w:val="none" w:sz="0" w:space="0" w:color="auto"/>
                            <w:right w:val="none" w:sz="0" w:space="0" w:color="auto"/>
                          </w:divBdr>
                          <w:divsChild>
                            <w:div w:id="974874456">
                              <w:marLeft w:val="0"/>
                              <w:marRight w:val="0"/>
                              <w:marTop w:val="0"/>
                              <w:marBottom w:val="0"/>
                              <w:divBdr>
                                <w:top w:val="none" w:sz="0" w:space="0" w:color="auto"/>
                                <w:left w:val="none" w:sz="0" w:space="0" w:color="auto"/>
                                <w:bottom w:val="none" w:sz="0" w:space="0" w:color="auto"/>
                                <w:right w:val="none" w:sz="0" w:space="0" w:color="auto"/>
                              </w:divBdr>
                              <w:divsChild>
                                <w:div w:id="481503910">
                                  <w:marLeft w:val="0"/>
                                  <w:marRight w:val="0"/>
                                  <w:marTop w:val="0"/>
                                  <w:marBottom w:val="0"/>
                                  <w:divBdr>
                                    <w:top w:val="none" w:sz="0" w:space="0" w:color="auto"/>
                                    <w:left w:val="none" w:sz="0" w:space="0" w:color="auto"/>
                                    <w:bottom w:val="none" w:sz="0" w:space="0" w:color="auto"/>
                                    <w:right w:val="none" w:sz="0" w:space="0" w:color="auto"/>
                                  </w:divBdr>
                                </w:div>
                              </w:divsChild>
                            </w:div>
                            <w:div w:id="1796098357">
                              <w:marLeft w:val="0"/>
                              <w:marRight w:val="0"/>
                              <w:marTop w:val="0"/>
                              <w:marBottom w:val="0"/>
                              <w:divBdr>
                                <w:top w:val="none" w:sz="0" w:space="0" w:color="auto"/>
                                <w:left w:val="none" w:sz="0" w:space="0" w:color="auto"/>
                                <w:bottom w:val="none" w:sz="0" w:space="0" w:color="auto"/>
                                <w:right w:val="none" w:sz="0" w:space="0" w:color="auto"/>
                              </w:divBdr>
                              <w:divsChild>
                                <w:div w:id="1563715954">
                                  <w:marLeft w:val="0"/>
                                  <w:marRight w:val="0"/>
                                  <w:marTop w:val="0"/>
                                  <w:marBottom w:val="0"/>
                                  <w:divBdr>
                                    <w:top w:val="none" w:sz="0" w:space="0" w:color="auto"/>
                                    <w:left w:val="none" w:sz="0" w:space="0" w:color="auto"/>
                                    <w:bottom w:val="none" w:sz="0" w:space="0" w:color="auto"/>
                                    <w:right w:val="none" w:sz="0" w:space="0" w:color="auto"/>
                                  </w:divBdr>
                                  <w:divsChild>
                                    <w:div w:id="896472145">
                                      <w:marLeft w:val="0"/>
                                      <w:marRight w:val="0"/>
                                      <w:marTop w:val="0"/>
                                      <w:marBottom w:val="0"/>
                                      <w:divBdr>
                                        <w:top w:val="none" w:sz="0" w:space="0" w:color="auto"/>
                                        <w:left w:val="none" w:sz="0" w:space="0" w:color="auto"/>
                                        <w:bottom w:val="none" w:sz="0" w:space="0" w:color="auto"/>
                                        <w:right w:val="none" w:sz="0" w:space="0" w:color="auto"/>
                                      </w:divBdr>
                                      <w:divsChild>
                                        <w:div w:id="1420827722">
                                          <w:marLeft w:val="0"/>
                                          <w:marRight w:val="0"/>
                                          <w:marTop w:val="0"/>
                                          <w:marBottom w:val="0"/>
                                          <w:divBdr>
                                            <w:top w:val="none" w:sz="0" w:space="0" w:color="auto"/>
                                            <w:left w:val="none" w:sz="0" w:space="0" w:color="auto"/>
                                            <w:bottom w:val="none" w:sz="0" w:space="0" w:color="auto"/>
                                            <w:right w:val="none" w:sz="0" w:space="0" w:color="auto"/>
                                          </w:divBdr>
                                        </w:div>
                                        <w:div w:id="1257597385">
                                          <w:marLeft w:val="0"/>
                                          <w:marRight w:val="0"/>
                                          <w:marTop w:val="0"/>
                                          <w:marBottom w:val="0"/>
                                          <w:divBdr>
                                            <w:top w:val="none" w:sz="0" w:space="0" w:color="auto"/>
                                            <w:left w:val="none" w:sz="0" w:space="0" w:color="auto"/>
                                            <w:bottom w:val="none" w:sz="0" w:space="0" w:color="auto"/>
                                            <w:right w:val="none" w:sz="0" w:space="0" w:color="auto"/>
                                          </w:divBdr>
                                        </w:div>
                                        <w:div w:id="1486047498">
                                          <w:marLeft w:val="0"/>
                                          <w:marRight w:val="0"/>
                                          <w:marTop w:val="0"/>
                                          <w:marBottom w:val="0"/>
                                          <w:divBdr>
                                            <w:top w:val="none" w:sz="0" w:space="0" w:color="auto"/>
                                            <w:left w:val="none" w:sz="0" w:space="0" w:color="auto"/>
                                            <w:bottom w:val="none" w:sz="0" w:space="0" w:color="auto"/>
                                            <w:right w:val="none" w:sz="0" w:space="0" w:color="auto"/>
                                          </w:divBdr>
                                        </w:div>
                                        <w:div w:id="754938094">
                                          <w:marLeft w:val="0"/>
                                          <w:marRight w:val="0"/>
                                          <w:marTop w:val="0"/>
                                          <w:marBottom w:val="0"/>
                                          <w:divBdr>
                                            <w:top w:val="none" w:sz="0" w:space="0" w:color="auto"/>
                                            <w:left w:val="none" w:sz="0" w:space="0" w:color="auto"/>
                                            <w:bottom w:val="none" w:sz="0" w:space="0" w:color="auto"/>
                                            <w:right w:val="none" w:sz="0" w:space="0" w:color="auto"/>
                                          </w:divBdr>
                                        </w:div>
                                        <w:div w:id="2026322809">
                                          <w:marLeft w:val="0"/>
                                          <w:marRight w:val="0"/>
                                          <w:marTop w:val="0"/>
                                          <w:marBottom w:val="0"/>
                                          <w:divBdr>
                                            <w:top w:val="none" w:sz="0" w:space="0" w:color="auto"/>
                                            <w:left w:val="none" w:sz="0" w:space="0" w:color="auto"/>
                                            <w:bottom w:val="none" w:sz="0" w:space="0" w:color="auto"/>
                                            <w:right w:val="none" w:sz="0" w:space="0" w:color="auto"/>
                                          </w:divBdr>
                                        </w:div>
                                      </w:divsChild>
                                    </w:div>
                                    <w:div w:id="1227454345">
                                      <w:marLeft w:val="0"/>
                                      <w:marRight w:val="0"/>
                                      <w:marTop w:val="0"/>
                                      <w:marBottom w:val="0"/>
                                      <w:divBdr>
                                        <w:top w:val="none" w:sz="0" w:space="0" w:color="auto"/>
                                        <w:left w:val="none" w:sz="0" w:space="0" w:color="auto"/>
                                        <w:bottom w:val="none" w:sz="0" w:space="0" w:color="auto"/>
                                        <w:right w:val="none" w:sz="0" w:space="0" w:color="auto"/>
                                      </w:divBdr>
                                      <w:divsChild>
                                        <w:div w:id="2059625963">
                                          <w:marLeft w:val="0"/>
                                          <w:marRight w:val="0"/>
                                          <w:marTop w:val="0"/>
                                          <w:marBottom w:val="0"/>
                                          <w:divBdr>
                                            <w:top w:val="none" w:sz="0" w:space="0" w:color="auto"/>
                                            <w:left w:val="none" w:sz="0" w:space="0" w:color="auto"/>
                                            <w:bottom w:val="none" w:sz="0" w:space="0" w:color="auto"/>
                                            <w:right w:val="none" w:sz="0" w:space="0" w:color="auto"/>
                                          </w:divBdr>
                                        </w:div>
                                        <w:div w:id="26523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1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836430">
      <w:bodyDiv w:val="1"/>
      <w:marLeft w:val="0"/>
      <w:marRight w:val="0"/>
      <w:marTop w:val="0"/>
      <w:marBottom w:val="0"/>
      <w:divBdr>
        <w:top w:val="none" w:sz="0" w:space="0" w:color="auto"/>
        <w:left w:val="none" w:sz="0" w:space="0" w:color="auto"/>
        <w:bottom w:val="none" w:sz="0" w:space="0" w:color="auto"/>
        <w:right w:val="none" w:sz="0" w:space="0" w:color="auto"/>
      </w:divBdr>
    </w:div>
    <w:div w:id="1290433193">
      <w:bodyDiv w:val="1"/>
      <w:marLeft w:val="0"/>
      <w:marRight w:val="0"/>
      <w:marTop w:val="0"/>
      <w:marBottom w:val="0"/>
      <w:divBdr>
        <w:top w:val="none" w:sz="0" w:space="0" w:color="auto"/>
        <w:left w:val="none" w:sz="0" w:space="0" w:color="auto"/>
        <w:bottom w:val="none" w:sz="0" w:space="0" w:color="auto"/>
        <w:right w:val="none" w:sz="0" w:space="0" w:color="auto"/>
      </w:divBdr>
    </w:div>
    <w:div w:id="1662199262">
      <w:bodyDiv w:val="1"/>
      <w:marLeft w:val="0"/>
      <w:marRight w:val="0"/>
      <w:marTop w:val="0"/>
      <w:marBottom w:val="0"/>
      <w:divBdr>
        <w:top w:val="none" w:sz="0" w:space="0" w:color="auto"/>
        <w:left w:val="none" w:sz="0" w:space="0" w:color="auto"/>
        <w:bottom w:val="none" w:sz="0" w:space="0" w:color="auto"/>
        <w:right w:val="none" w:sz="0" w:space="0" w:color="auto"/>
      </w:divBdr>
    </w:div>
    <w:div w:id="1902250279">
      <w:bodyDiv w:val="1"/>
      <w:marLeft w:val="0"/>
      <w:marRight w:val="0"/>
      <w:marTop w:val="0"/>
      <w:marBottom w:val="0"/>
      <w:divBdr>
        <w:top w:val="none" w:sz="0" w:space="0" w:color="auto"/>
        <w:left w:val="none" w:sz="0" w:space="0" w:color="auto"/>
        <w:bottom w:val="none" w:sz="0" w:space="0" w:color="auto"/>
        <w:right w:val="none" w:sz="0" w:space="0" w:color="auto"/>
      </w:divBdr>
    </w:div>
    <w:div w:id="196674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2414744-8861-431a-9863-eb4c0d5384c4">IDOC-118-578</_dlc_DocId>
    <_dlc_DocIdUrl xmlns="c2414744-8861-431a-9863-eb4c0d5384c4">
      <Url>http://intranet/COO/_layouts/DocIdRedir.aspx?ID=IDOC-118-578</Url>
      <Description>IDOC-118-578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3A1DFB212DFF48B5B92F952DD77CB8" ma:contentTypeVersion="1" ma:contentTypeDescription="Create a new document." ma:contentTypeScope="" ma:versionID="717949e118d544c28739fb5f8bfc06da">
  <xsd:schema xmlns:xsd="http://www.w3.org/2001/XMLSchema" xmlns:xs="http://www.w3.org/2001/XMLSchema" xmlns:p="http://schemas.microsoft.com/office/2006/metadata/properties" xmlns:ns1="http://schemas.microsoft.com/sharepoint/v3" xmlns:ns2="c2414744-8861-431a-9863-eb4c0d5384c4" targetNamespace="http://schemas.microsoft.com/office/2006/metadata/properties" ma:root="true" ma:fieldsID="ec23787bc05cd1e68a19982d8cce55f2" ns1:_="" ns2:_="">
    <xsd:import namespace="http://schemas.microsoft.com/sharepoint/v3"/>
    <xsd:import namespace="c2414744-8861-431a-9863-eb4c0d5384c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414744-8861-431a-9863-eb4c0d5384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88978-5498-42CE-BD10-E38657C9699F}">
  <ds:schemaRefs>
    <ds:schemaRef ds:uri="http://schemas.microsoft.com/sharepoint/v3"/>
    <ds:schemaRef ds:uri="c2414744-8861-431a-9863-eb4c0d5384c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55DED769-D3D7-479C-B413-CD832B3355FD}">
  <ds:schemaRefs>
    <ds:schemaRef ds:uri="http://schemas.microsoft.com/sharepoint/events"/>
  </ds:schemaRefs>
</ds:datastoreItem>
</file>

<file path=customXml/itemProps3.xml><?xml version="1.0" encoding="utf-8"?>
<ds:datastoreItem xmlns:ds="http://schemas.openxmlformats.org/officeDocument/2006/customXml" ds:itemID="{DE15D666-E2FD-4B64-9651-7C5DC2C5D305}">
  <ds:schemaRefs>
    <ds:schemaRef ds:uri="http://schemas.microsoft.com/sharepoint/v3/contenttype/forms"/>
  </ds:schemaRefs>
</ds:datastoreItem>
</file>

<file path=customXml/itemProps4.xml><?xml version="1.0" encoding="utf-8"?>
<ds:datastoreItem xmlns:ds="http://schemas.openxmlformats.org/officeDocument/2006/customXml" ds:itemID="{BCA589D7-058F-4D58-8A29-58C586D18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414744-8861-431a-9863-eb4c0d538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A8998C-CFAE-425F-9A65-A46BA0383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Guernsey Financial Services Commission</Company>
  <LinksUpToDate>false</LinksUpToDate>
  <CharactersWithSpaces>11186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Cole</dc:creator>
  <cp:lastModifiedBy>Dale Holmes</cp:lastModifiedBy>
  <cp:revision>7</cp:revision>
  <cp:lastPrinted>2016-08-31T15:44:00Z</cp:lastPrinted>
  <dcterms:created xsi:type="dcterms:W3CDTF">2017-10-17T10:37:00Z</dcterms:created>
  <dcterms:modified xsi:type="dcterms:W3CDTF">2017-11-10T08:44:00Z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0x010100CD3A1DFB212DFF48B5B92F952DD77CB8</vt:lpwstr>
  </property>
  <property fmtid="{D5CDD505-2E9C-101B-9397-08002B2CF9AE}" pid="3" name="_dlc_DocIdItemGuid">
    <vt:lpwstr>636e1da1-1f09-49ad-9aca-656e60b55647</vt:lpwstr>
  </property>
</Properties>
</file>