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9906E" w14:textId="74D01211" w:rsidR="00337EF0" w:rsidRDefault="00337EF0" w:rsidP="00337EF0">
      <w:pPr>
        <w:spacing w:after="0" w:line="360" w:lineRule="auto"/>
        <w:jc w:val="both"/>
        <w:rPr>
          <w:rFonts w:ascii="Times New Roman" w:hAnsi="Times New Roman" w:cs="Times New Roman"/>
          <w:b/>
          <w:color w:val="98002E"/>
          <w:sz w:val="18"/>
          <w:szCs w:val="18"/>
        </w:rPr>
      </w:pPr>
      <w:r w:rsidRPr="007A42EB">
        <w:rPr>
          <w:rFonts w:ascii="Times New Roman" w:hAnsi="Times New Roman" w:cs="Times New Roman"/>
          <w:b/>
          <w:color w:val="98002E"/>
          <w:sz w:val="18"/>
          <w:szCs w:val="18"/>
        </w:rPr>
        <w:t>Di</w:t>
      </w:r>
      <w:r>
        <w:rPr>
          <w:rFonts w:ascii="Times New Roman" w:hAnsi="Times New Roman" w:cs="Times New Roman"/>
          <w:b/>
          <w:color w:val="98002E"/>
          <w:sz w:val="18"/>
          <w:szCs w:val="18"/>
        </w:rPr>
        <w:t xml:space="preserve">scretionary </w:t>
      </w:r>
      <w:r w:rsidR="00E34696">
        <w:rPr>
          <w:rFonts w:ascii="Times New Roman" w:hAnsi="Times New Roman" w:cs="Times New Roman"/>
          <w:b/>
          <w:color w:val="98002E"/>
          <w:sz w:val="18"/>
          <w:szCs w:val="18"/>
        </w:rPr>
        <w:t xml:space="preserve">Financial </w:t>
      </w:r>
      <w:bookmarkStart w:id="0" w:name="_GoBack"/>
      <w:bookmarkEnd w:id="0"/>
      <w:r>
        <w:rPr>
          <w:rFonts w:ascii="Times New Roman" w:hAnsi="Times New Roman" w:cs="Times New Roman"/>
          <w:b/>
          <w:color w:val="98002E"/>
          <w:sz w:val="18"/>
          <w:szCs w:val="18"/>
        </w:rPr>
        <w:t xml:space="preserve">Penalties – </w:t>
      </w:r>
      <w:r w:rsidRPr="007A42EB">
        <w:rPr>
          <w:rFonts w:ascii="Times New Roman" w:hAnsi="Times New Roman" w:cs="Times New Roman"/>
          <w:b/>
          <w:color w:val="98002E"/>
          <w:sz w:val="18"/>
          <w:szCs w:val="18"/>
        </w:rPr>
        <w:t>schedule of bandings</w:t>
      </w:r>
      <w:r w:rsidRPr="007A42EB">
        <w:rPr>
          <w:rFonts w:ascii="Times New Roman" w:hAnsi="Times New Roman" w:cs="Times New Roman"/>
          <w:b/>
          <w:color w:val="98002E"/>
          <w:sz w:val="18"/>
          <w:szCs w:val="18"/>
        </w:rPr>
        <w:tab/>
      </w:r>
      <w:r w:rsidRPr="007A42EB">
        <w:rPr>
          <w:rFonts w:ascii="Times New Roman" w:hAnsi="Times New Roman" w:cs="Times New Roman"/>
          <w:b/>
          <w:color w:val="98002E"/>
          <w:sz w:val="18"/>
          <w:szCs w:val="18"/>
        </w:rPr>
        <w:tab/>
      </w:r>
      <w:r w:rsidRPr="007A42EB">
        <w:rPr>
          <w:rFonts w:ascii="Times New Roman" w:hAnsi="Times New Roman" w:cs="Times New Roman"/>
          <w:b/>
          <w:color w:val="98002E"/>
          <w:sz w:val="18"/>
          <w:szCs w:val="18"/>
        </w:rPr>
        <w:tab/>
      </w:r>
      <w:r w:rsidRPr="007A42EB">
        <w:rPr>
          <w:rFonts w:ascii="Times New Roman" w:hAnsi="Times New Roman" w:cs="Times New Roman"/>
          <w:b/>
          <w:color w:val="98002E"/>
          <w:sz w:val="18"/>
          <w:szCs w:val="18"/>
        </w:rPr>
        <w:tab/>
      </w:r>
      <w:r w:rsidRPr="007A42EB">
        <w:rPr>
          <w:rFonts w:ascii="Times New Roman" w:hAnsi="Times New Roman" w:cs="Times New Roman"/>
          <w:b/>
          <w:color w:val="98002E"/>
          <w:sz w:val="18"/>
          <w:szCs w:val="18"/>
        </w:rPr>
        <w:tab/>
      </w:r>
      <w:r w:rsidRPr="007A42EB">
        <w:rPr>
          <w:rFonts w:ascii="Times New Roman" w:hAnsi="Times New Roman" w:cs="Times New Roman"/>
          <w:b/>
          <w:color w:val="98002E"/>
          <w:sz w:val="18"/>
          <w:szCs w:val="18"/>
        </w:rPr>
        <w:tab/>
      </w:r>
      <w:r w:rsidRPr="007A42EB">
        <w:rPr>
          <w:rFonts w:ascii="Times New Roman" w:hAnsi="Times New Roman" w:cs="Times New Roman"/>
          <w:b/>
          <w:color w:val="98002E"/>
          <w:sz w:val="18"/>
          <w:szCs w:val="18"/>
        </w:rPr>
        <w:tab/>
        <w:t xml:space="preserve">      </w:t>
      </w:r>
      <w:r>
        <w:rPr>
          <w:rFonts w:ascii="Times New Roman" w:hAnsi="Times New Roman" w:cs="Times New Roman"/>
          <w:b/>
          <w:color w:val="98002E"/>
          <w:sz w:val="18"/>
          <w:szCs w:val="18"/>
        </w:rPr>
        <w:t xml:space="preserve">                                                                                                         </w:t>
      </w:r>
    </w:p>
    <w:p w14:paraId="58468A86" w14:textId="77777777" w:rsidR="00337EF0" w:rsidRPr="00F05120" w:rsidRDefault="00337EF0" w:rsidP="00337EF0">
      <w:pPr>
        <w:spacing w:after="0" w:line="360" w:lineRule="auto"/>
        <w:jc w:val="both"/>
        <w:rPr>
          <w:rFonts w:ascii="Times New Roman" w:hAnsi="Times New Roman" w:cs="Times New Roman"/>
          <w:sz w:val="18"/>
          <w:szCs w:val="18"/>
        </w:rPr>
      </w:pPr>
      <w:r w:rsidRPr="00F05120">
        <w:rPr>
          <w:rFonts w:ascii="Times New Roman" w:hAnsi="Times New Roman" w:cs="Times New Roman"/>
          <w:sz w:val="18"/>
          <w:szCs w:val="18"/>
        </w:rPr>
        <w:t>Please note that:</w:t>
      </w:r>
    </w:p>
    <w:p w14:paraId="253D2A39" w14:textId="77777777" w:rsidR="00337EF0" w:rsidRPr="00F05120" w:rsidRDefault="00337EF0" w:rsidP="00337EF0">
      <w:pPr>
        <w:pStyle w:val="ListParagraph"/>
        <w:numPr>
          <w:ilvl w:val="0"/>
          <w:numId w:val="22"/>
        </w:numPr>
        <w:spacing w:after="0" w:line="360" w:lineRule="auto"/>
        <w:jc w:val="both"/>
        <w:rPr>
          <w:rFonts w:ascii="Times New Roman" w:hAnsi="Times New Roman" w:cs="Times New Roman"/>
          <w:sz w:val="18"/>
          <w:szCs w:val="18"/>
        </w:rPr>
      </w:pPr>
      <w:r w:rsidRPr="00F05120">
        <w:rPr>
          <w:rFonts w:ascii="Times New Roman" w:hAnsi="Times New Roman" w:cs="Times New Roman"/>
          <w:sz w:val="18"/>
          <w:szCs w:val="18"/>
        </w:rPr>
        <w:t xml:space="preserve">The below </w:t>
      </w:r>
      <w:r w:rsidRPr="00F05120">
        <w:rPr>
          <w:rFonts w:ascii="Times New Roman" w:hAnsi="Times New Roman" w:cs="Times New Roman"/>
          <w:sz w:val="18"/>
          <w:szCs w:val="18"/>
          <w:u w:val="single"/>
        </w:rPr>
        <w:t>only applies</w:t>
      </w:r>
      <w:r w:rsidRPr="00F05120">
        <w:rPr>
          <w:rFonts w:ascii="Times New Roman" w:hAnsi="Times New Roman" w:cs="Times New Roman"/>
          <w:sz w:val="18"/>
          <w:szCs w:val="18"/>
        </w:rPr>
        <w:t xml:space="preserve"> in the event that it has been determined that it is appropriate to impose a discretionary financial penalty under section 11D of the FSC Law.</w:t>
      </w:r>
    </w:p>
    <w:p w14:paraId="36899AA2" w14:textId="77777777" w:rsidR="00337EF0" w:rsidRPr="00F05120" w:rsidRDefault="00337EF0" w:rsidP="00337EF0">
      <w:pPr>
        <w:pStyle w:val="ListParagraph"/>
        <w:numPr>
          <w:ilvl w:val="0"/>
          <w:numId w:val="22"/>
        </w:numPr>
        <w:spacing w:after="0" w:line="240" w:lineRule="auto"/>
        <w:jc w:val="both"/>
        <w:rPr>
          <w:rFonts w:ascii="Times New Roman" w:hAnsi="Times New Roman" w:cs="Times New Roman"/>
          <w:sz w:val="18"/>
          <w:szCs w:val="18"/>
        </w:rPr>
      </w:pPr>
      <w:r w:rsidRPr="00F05120">
        <w:rPr>
          <w:rFonts w:ascii="Times New Roman" w:hAnsi="Times New Roman" w:cs="Times New Roman"/>
          <w:sz w:val="18"/>
          <w:szCs w:val="18"/>
        </w:rPr>
        <w:t xml:space="preserve">In determining which band a firm or individual may fall under, the behaviour of the firm and individual (as relevant) will be considered.  Accordingly, where financial penalties are imposed upon both a firm and an individual (e.g. a director) for the same set of circumstances, these persons may, due to their differing obligations and in consideration of their behaviour, fall under different bands.  However, each situation will be considered as appropriate in a) arriving at a decision whether or not to impose a discretionary financial penalty and b) the amount of any such penalty (including the matters which must be considered under section 11D(2)(e) of the FSC Law).  </w:t>
      </w:r>
    </w:p>
    <w:tbl>
      <w:tblPr>
        <w:tblStyle w:val="TableGrid"/>
        <w:tblW w:w="5232" w:type="pct"/>
        <w:tblLook w:val="04A0" w:firstRow="1" w:lastRow="0" w:firstColumn="1" w:lastColumn="0" w:noHBand="0" w:noVBand="1"/>
      </w:tblPr>
      <w:tblGrid>
        <w:gridCol w:w="3488"/>
        <w:gridCol w:w="3736"/>
        <w:gridCol w:w="3404"/>
        <w:gridCol w:w="3967"/>
      </w:tblGrid>
      <w:tr w:rsidR="00337EF0" w:rsidRPr="007A42EB" w14:paraId="38BE667E" w14:textId="77777777" w:rsidTr="0021293B">
        <w:tc>
          <w:tcPr>
            <w:tcW w:w="1195" w:type="pct"/>
            <w:shd w:val="clear" w:color="auto" w:fill="943634" w:themeFill="accent2" w:themeFillShade="BF"/>
          </w:tcPr>
          <w:p w14:paraId="57FE0F18" w14:textId="77777777" w:rsidR="00337EF0" w:rsidRPr="007A42EB" w:rsidRDefault="00337EF0" w:rsidP="003A39E4">
            <w:pPr>
              <w:ind w:right="-455"/>
              <w:jc w:val="center"/>
              <w:rPr>
                <w:rFonts w:cs="Times New Roman"/>
                <w:b/>
                <w:color w:val="FFFFFF" w:themeColor="background1"/>
                <w:sz w:val="18"/>
                <w:szCs w:val="18"/>
              </w:rPr>
            </w:pPr>
            <w:r w:rsidRPr="007A42EB">
              <w:rPr>
                <w:rFonts w:cs="Times New Roman"/>
                <w:b/>
                <w:color w:val="FFFFFF" w:themeColor="background1"/>
                <w:sz w:val="18"/>
                <w:szCs w:val="18"/>
              </w:rPr>
              <w:t>Band 1</w:t>
            </w:r>
          </w:p>
        </w:tc>
        <w:tc>
          <w:tcPr>
            <w:tcW w:w="1280" w:type="pct"/>
            <w:shd w:val="clear" w:color="auto" w:fill="943634" w:themeFill="accent2" w:themeFillShade="BF"/>
          </w:tcPr>
          <w:p w14:paraId="4895E82E" w14:textId="77777777" w:rsidR="00337EF0" w:rsidRPr="007A42EB" w:rsidRDefault="00337EF0" w:rsidP="003A39E4">
            <w:pPr>
              <w:ind w:right="-455"/>
              <w:jc w:val="center"/>
              <w:rPr>
                <w:rFonts w:cs="Times New Roman"/>
                <w:b/>
                <w:color w:val="FFFFFF" w:themeColor="background1"/>
                <w:sz w:val="18"/>
                <w:szCs w:val="18"/>
              </w:rPr>
            </w:pPr>
            <w:r w:rsidRPr="007A42EB">
              <w:rPr>
                <w:rFonts w:cs="Times New Roman"/>
                <w:b/>
                <w:color w:val="FFFFFF" w:themeColor="background1"/>
                <w:sz w:val="18"/>
                <w:szCs w:val="18"/>
              </w:rPr>
              <w:t>Band 2</w:t>
            </w:r>
          </w:p>
        </w:tc>
        <w:tc>
          <w:tcPr>
            <w:tcW w:w="1166" w:type="pct"/>
            <w:shd w:val="clear" w:color="auto" w:fill="943634" w:themeFill="accent2" w:themeFillShade="BF"/>
          </w:tcPr>
          <w:p w14:paraId="39F90C18" w14:textId="77777777" w:rsidR="00337EF0" w:rsidRPr="007A42EB" w:rsidRDefault="00337EF0" w:rsidP="003A39E4">
            <w:pPr>
              <w:ind w:right="-455"/>
              <w:jc w:val="center"/>
              <w:rPr>
                <w:rFonts w:cs="Times New Roman"/>
                <w:b/>
                <w:color w:val="FFFFFF" w:themeColor="background1"/>
                <w:sz w:val="18"/>
                <w:szCs w:val="18"/>
              </w:rPr>
            </w:pPr>
            <w:r w:rsidRPr="007A42EB">
              <w:rPr>
                <w:rFonts w:cs="Times New Roman"/>
                <w:b/>
                <w:color w:val="FFFFFF" w:themeColor="background1"/>
                <w:sz w:val="18"/>
                <w:szCs w:val="18"/>
              </w:rPr>
              <w:t>Band 3</w:t>
            </w:r>
          </w:p>
        </w:tc>
        <w:tc>
          <w:tcPr>
            <w:tcW w:w="1359" w:type="pct"/>
            <w:shd w:val="clear" w:color="auto" w:fill="943634" w:themeFill="accent2" w:themeFillShade="BF"/>
          </w:tcPr>
          <w:p w14:paraId="2251D754" w14:textId="77777777" w:rsidR="00337EF0" w:rsidRPr="007A42EB" w:rsidRDefault="00337EF0" w:rsidP="003A39E4">
            <w:pPr>
              <w:ind w:right="-455"/>
              <w:jc w:val="center"/>
              <w:rPr>
                <w:rFonts w:cs="Times New Roman"/>
                <w:b/>
                <w:color w:val="FFFFFF" w:themeColor="background1"/>
                <w:sz w:val="18"/>
                <w:szCs w:val="18"/>
              </w:rPr>
            </w:pPr>
            <w:r w:rsidRPr="007A42EB">
              <w:rPr>
                <w:rFonts w:cs="Times New Roman"/>
                <w:b/>
                <w:color w:val="FFFFFF" w:themeColor="background1"/>
                <w:sz w:val="18"/>
                <w:szCs w:val="18"/>
              </w:rPr>
              <w:t>Band 4</w:t>
            </w:r>
          </w:p>
        </w:tc>
      </w:tr>
      <w:tr w:rsidR="00337EF0" w:rsidRPr="007A42EB" w14:paraId="181BE8B2" w14:textId="77777777" w:rsidTr="0021293B">
        <w:tc>
          <w:tcPr>
            <w:tcW w:w="5000" w:type="pct"/>
            <w:gridSpan w:val="4"/>
            <w:shd w:val="clear" w:color="auto" w:fill="943634" w:themeFill="accent2" w:themeFillShade="BF"/>
          </w:tcPr>
          <w:p w14:paraId="7B6EB35B" w14:textId="77777777" w:rsidR="00337EF0" w:rsidRPr="007A42EB" w:rsidRDefault="00337EF0" w:rsidP="003A39E4">
            <w:pPr>
              <w:ind w:right="-455"/>
              <w:rPr>
                <w:rFonts w:cs="Times New Roman"/>
                <w:b/>
                <w:color w:val="FFFFFF" w:themeColor="background1"/>
                <w:sz w:val="18"/>
                <w:szCs w:val="18"/>
              </w:rPr>
            </w:pPr>
            <w:r w:rsidRPr="007A42EB">
              <w:rPr>
                <w:rFonts w:cs="Times New Roman"/>
                <w:b/>
                <w:color w:val="FFFFFF" w:themeColor="background1"/>
                <w:sz w:val="18"/>
                <w:szCs w:val="18"/>
              </w:rPr>
              <w:t>Potential Sanctions – Firms</w:t>
            </w:r>
          </w:p>
          <w:p w14:paraId="60E3A41D" w14:textId="77777777" w:rsidR="00337EF0" w:rsidRPr="007A42EB" w:rsidRDefault="00337EF0" w:rsidP="003A39E4">
            <w:pPr>
              <w:ind w:right="-455"/>
              <w:rPr>
                <w:rFonts w:cs="Times New Roman"/>
                <w:b/>
                <w:color w:val="FFFFFF" w:themeColor="background1"/>
                <w:sz w:val="18"/>
                <w:szCs w:val="18"/>
              </w:rPr>
            </w:pPr>
          </w:p>
        </w:tc>
      </w:tr>
      <w:tr w:rsidR="00337EF0" w:rsidRPr="007A42EB" w14:paraId="61DB8279" w14:textId="77777777" w:rsidTr="0021293B">
        <w:tc>
          <w:tcPr>
            <w:tcW w:w="1195" w:type="pct"/>
          </w:tcPr>
          <w:p w14:paraId="01BAA752" w14:textId="77777777" w:rsidR="00337EF0" w:rsidRPr="007A42EB" w:rsidRDefault="00337EF0" w:rsidP="003A39E4">
            <w:pPr>
              <w:ind w:right="-64"/>
              <w:jc w:val="center"/>
              <w:rPr>
                <w:rFonts w:cs="Times New Roman"/>
                <w:sz w:val="18"/>
                <w:szCs w:val="18"/>
              </w:rPr>
            </w:pPr>
            <w:r>
              <w:rPr>
                <w:rFonts w:cs="Times New Roman"/>
                <w:sz w:val="18"/>
                <w:szCs w:val="18"/>
              </w:rPr>
              <w:t>*Up to</w:t>
            </w:r>
            <w:r w:rsidRPr="007A42EB">
              <w:rPr>
                <w:rFonts w:cs="Times New Roman"/>
                <w:sz w:val="18"/>
                <w:szCs w:val="18"/>
              </w:rPr>
              <w:t xml:space="preserve"> £50,000</w:t>
            </w:r>
          </w:p>
        </w:tc>
        <w:tc>
          <w:tcPr>
            <w:tcW w:w="1280" w:type="pct"/>
          </w:tcPr>
          <w:p w14:paraId="70B1A02B" w14:textId="77777777" w:rsidR="00337EF0" w:rsidRPr="007A42EB" w:rsidRDefault="00337EF0" w:rsidP="003A39E4">
            <w:pPr>
              <w:ind w:right="-53"/>
              <w:jc w:val="center"/>
              <w:rPr>
                <w:rFonts w:cs="Times New Roman"/>
                <w:sz w:val="18"/>
                <w:szCs w:val="18"/>
              </w:rPr>
            </w:pPr>
            <w:r>
              <w:rPr>
                <w:rFonts w:cs="Times New Roman"/>
                <w:sz w:val="18"/>
                <w:szCs w:val="18"/>
              </w:rPr>
              <w:t xml:space="preserve">Up to </w:t>
            </w:r>
            <w:r w:rsidRPr="007A42EB">
              <w:rPr>
                <w:rFonts w:cs="Times New Roman"/>
                <w:sz w:val="18"/>
                <w:szCs w:val="18"/>
              </w:rPr>
              <w:t>£200,000</w:t>
            </w:r>
          </w:p>
        </w:tc>
        <w:tc>
          <w:tcPr>
            <w:tcW w:w="1166" w:type="pct"/>
          </w:tcPr>
          <w:p w14:paraId="695A9858" w14:textId="77777777" w:rsidR="00337EF0" w:rsidRPr="007A42EB" w:rsidRDefault="00337EF0" w:rsidP="003A39E4">
            <w:pPr>
              <w:ind w:right="-42"/>
              <w:jc w:val="center"/>
              <w:rPr>
                <w:rFonts w:cs="Times New Roman"/>
                <w:sz w:val="18"/>
                <w:szCs w:val="18"/>
              </w:rPr>
            </w:pPr>
            <w:r>
              <w:rPr>
                <w:rFonts w:cs="Times New Roman"/>
                <w:sz w:val="18"/>
                <w:szCs w:val="18"/>
              </w:rPr>
              <w:t xml:space="preserve">Up to </w:t>
            </w:r>
            <w:r w:rsidRPr="007A42EB">
              <w:rPr>
                <w:rFonts w:cs="Times New Roman"/>
                <w:sz w:val="18"/>
                <w:szCs w:val="18"/>
              </w:rPr>
              <w:t>£500,000</w:t>
            </w:r>
          </w:p>
          <w:p w14:paraId="53934926" w14:textId="77777777" w:rsidR="00337EF0" w:rsidRPr="007A42EB" w:rsidRDefault="00337EF0" w:rsidP="003A39E4">
            <w:pPr>
              <w:ind w:right="-42"/>
              <w:jc w:val="center"/>
              <w:rPr>
                <w:rFonts w:cs="Times New Roman"/>
                <w:sz w:val="18"/>
                <w:szCs w:val="18"/>
              </w:rPr>
            </w:pPr>
          </w:p>
          <w:p w14:paraId="546A2732" w14:textId="77777777" w:rsidR="00337EF0" w:rsidRPr="008124E0" w:rsidRDefault="00337EF0" w:rsidP="003A39E4">
            <w:pPr>
              <w:ind w:right="-31"/>
              <w:jc w:val="both"/>
              <w:rPr>
                <w:rFonts w:cs="Times New Roman"/>
                <w:sz w:val="18"/>
                <w:szCs w:val="18"/>
              </w:rPr>
            </w:pPr>
            <w:r w:rsidRPr="008124E0">
              <w:rPr>
                <w:sz w:val="18"/>
                <w:szCs w:val="18"/>
              </w:rPr>
              <w:t>(</w:t>
            </w:r>
            <w:r>
              <w:rPr>
                <w:sz w:val="18"/>
                <w:szCs w:val="18"/>
              </w:rPr>
              <w:t>where it is proposed to impose a fine of more than £300,000, such fine shall not exceed</w:t>
            </w:r>
            <w:r>
              <w:rPr>
                <w:rFonts w:cs="Times New Roman"/>
                <w:sz w:val="18"/>
                <w:szCs w:val="18"/>
              </w:rPr>
              <w:t xml:space="preserve"> </w:t>
            </w:r>
            <w:r w:rsidRPr="008124E0">
              <w:rPr>
                <w:rFonts w:cs="Times New Roman"/>
                <w:sz w:val="18"/>
                <w:szCs w:val="18"/>
              </w:rPr>
              <w:t xml:space="preserve">10% of a firm’s turnover in the relevant accounting period, up to </w:t>
            </w:r>
            <w:r>
              <w:rPr>
                <w:rFonts w:cs="Times New Roman"/>
                <w:sz w:val="18"/>
                <w:szCs w:val="18"/>
              </w:rPr>
              <w:t>£500,000)</w:t>
            </w:r>
          </w:p>
        </w:tc>
        <w:tc>
          <w:tcPr>
            <w:tcW w:w="1359" w:type="pct"/>
          </w:tcPr>
          <w:p w14:paraId="076E94B1" w14:textId="77777777" w:rsidR="00337EF0" w:rsidRPr="007A42EB" w:rsidRDefault="00337EF0" w:rsidP="003A39E4">
            <w:pPr>
              <w:ind w:right="-455"/>
              <w:jc w:val="center"/>
              <w:rPr>
                <w:rFonts w:cs="Times New Roman"/>
                <w:sz w:val="18"/>
                <w:szCs w:val="18"/>
              </w:rPr>
            </w:pPr>
            <w:r>
              <w:rPr>
                <w:rFonts w:cs="Times New Roman"/>
                <w:sz w:val="18"/>
                <w:szCs w:val="18"/>
              </w:rPr>
              <w:t>Up to</w:t>
            </w:r>
            <w:r w:rsidRPr="007A42EB">
              <w:rPr>
                <w:rFonts w:cs="Times New Roman"/>
                <w:sz w:val="18"/>
                <w:szCs w:val="18"/>
              </w:rPr>
              <w:t xml:space="preserve"> £4 million</w:t>
            </w:r>
          </w:p>
          <w:p w14:paraId="384AF084" w14:textId="77777777" w:rsidR="00337EF0" w:rsidRPr="007A42EB" w:rsidRDefault="00337EF0" w:rsidP="003A39E4">
            <w:pPr>
              <w:ind w:right="-455"/>
              <w:rPr>
                <w:rFonts w:cs="Times New Roman"/>
                <w:sz w:val="18"/>
                <w:szCs w:val="18"/>
              </w:rPr>
            </w:pPr>
          </w:p>
          <w:p w14:paraId="2DF9C3DB" w14:textId="77777777" w:rsidR="00337EF0" w:rsidRPr="007A42EB" w:rsidRDefault="00337EF0" w:rsidP="003A39E4">
            <w:pPr>
              <w:ind w:right="-32"/>
              <w:rPr>
                <w:rFonts w:cs="Times New Roman"/>
                <w:sz w:val="18"/>
                <w:szCs w:val="18"/>
              </w:rPr>
            </w:pPr>
            <w:r w:rsidRPr="008124E0">
              <w:rPr>
                <w:sz w:val="18"/>
                <w:szCs w:val="18"/>
              </w:rPr>
              <w:t>(</w:t>
            </w:r>
            <w:r>
              <w:rPr>
                <w:sz w:val="18"/>
                <w:szCs w:val="18"/>
              </w:rPr>
              <w:t>where it is proposed to impose a fine of more than £300,000, such fine shall not exceed</w:t>
            </w:r>
            <w:r>
              <w:rPr>
                <w:rFonts w:cs="Times New Roman"/>
                <w:sz w:val="18"/>
                <w:szCs w:val="18"/>
              </w:rPr>
              <w:t xml:space="preserve"> </w:t>
            </w:r>
            <w:r w:rsidRPr="008124E0">
              <w:rPr>
                <w:rFonts w:cs="Times New Roman"/>
                <w:sz w:val="18"/>
                <w:szCs w:val="18"/>
              </w:rPr>
              <w:t>10% of a firm’s turnover in the re</w:t>
            </w:r>
            <w:r>
              <w:rPr>
                <w:rFonts w:cs="Times New Roman"/>
                <w:sz w:val="18"/>
                <w:szCs w:val="18"/>
              </w:rPr>
              <w:t>levant accounting period, up to £4 million</w:t>
            </w:r>
            <w:r w:rsidRPr="008124E0">
              <w:rPr>
                <w:sz w:val="18"/>
                <w:szCs w:val="18"/>
              </w:rPr>
              <w:t>)</w:t>
            </w:r>
          </w:p>
        </w:tc>
      </w:tr>
      <w:tr w:rsidR="00337EF0" w:rsidRPr="007A42EB" w14:paraId="02B4C7CD" w14:textId="77777777" w:rsidTr="0021293B">
        <w:tc>
          <w:tcPr>
            <w:tcW w:w="5000" w:type="pct"/>
            <w:gridSpan w:val="4"/>
            <w:shd w:val="clear" w:color="auto" w:fill="943634" w:themeFill="accent2" w:themeFillShade="BF"/>
          </w:tcPr>
          <w:p w14:paraId="3D293499" w14:textId="77777777" w:rsidR="00337EF0" w:rsidRPr="007A42EB" w:rsidRDefault="00337EF0" w:rsidP="003A39E4">
            <w:pPr>
              <w:ind w:right="-455"/>
              <w:rPr>
                <w:rFonts w:cs="Times New Roman"/>
                <w:b/>
                <w:color w:val="FFFFFF" w:themeColor="background1"/>
                <w:sz w:val="18"/>
                <w:szCs w:val="18"/>
              </w:rPr>
            </w:pPr>
            <w:r w:rsidRPr="007A42EB">
              <w:rPr>
                <w:rFonts w:cs="Times New Roman"/>
                <w:b/>
                <w:color w:val="FFFFFF" w:themeColor="background1"/>
                <w:sz w:val="18"/>
                <w:szCs w:val="18"/>
              </w:rPr>
              <w:t>Potential Sanctions – Individuals</w:t>
            </w:r>
          </w:p>
          <w:p w14:paraId="70D3A6D9" w14:textId="77777777" w:rsidR="00337EF0" w:rsidRPr="007A42EB" w:rsidRDefault="00337EF0" w:rsidP="003A39E4">
            <w:pPr>
              <w:ind w:right="-455"/>
              <w:rPr>
                <w:rFonts w:cs="Times New Roman"/>
                <w:b/>
                <w:color w:val="FFFFFF" w:themeColor="background1"/>
                <w:sz w:val="18"/>
                <w:szCs w:val="18"/>
              </w:rPr>
            </w:pPr>
          </w:p>
        </w:tc>
      </w:tr>
      <w:tr w:rsidR="00337EF0" w:rsidRPr="007A42EB" w14:paraId="3062E171" w14:textId="77777777" w:rsidTr="0021293B">
        <w:tc>
          <w:tcPr>
            <w:tcW w:w="1195" w:type="pct"/>
          </w:tcPr>
          <w:p w14:paraId="6C61A56A" w14:textId="77777777" w:rsidR="00337EF0" w:rsidRPr="00F77438" w:rsidRDefault="00337EF0" w:rsidP="003A39E4">
            <w:pPr>
              <w:ind w:right="-64"/>
              <w:jc w:val="center"/>
              <w:rPr>
                <w:rFonts w:cs="Times New Roman"/>
                <w:sz w:val="18"/>
                <w:szCs w:val="18"/>
              </w:rPr>
            </w:pPr>
            <w:r w:rsidRPr="00F77438">
              <w:rPr>
                <w:rFonts w:cs="Times New Roman"/>
                <w:sz w:val="18"/>
                <w:szCs w:val="18"/>
              </w:rPr>
              <w:t>*Up to £25,000</w:t>
            </w:r>
          </w:p>
          <w:p w14:paraId="7913B836" w14:textId="77777777" w:rsidR="00337EF0" w:rsidRPr="00F77438" w:rsidRDefault="00337EF0" w:rsidP="003A39E4">
            <w:pPr>
              <w:ind w:right="-64"/>
              <w:rPr>
                <w:rFonts w:cs="Times New Roman"/>
                <w:sz w:val="18"/>
                <w:szCs w:val="18"/>
              </w:rPr>
            </w:pPr>
            <w:r w:rsidRPr="00F77438">
              <w:rPr>
                <w:rFonts w:cs="Times New Roman"/>
                <w:sz w:val="18"/>
                <w:szCs w:val="18"/>
              </w:rPr>
              <w:t>(with consideration to the total emoluments the individual has received during their connection to the firm)</w:t>
            </w:r>
          </w:p>
        </w:tc>
        <w:tc>
          <w:tcPr>
            <w:tcW w:w="1280" w:type="pct"/>
          </w:tcPr>
          <w:p w14:paraId="048EE555" w14:textId="77777777" w:rsidR="00337EF0" w:rsidRDefault="00337EF0" w:rsidP="003A39E4">
            <w:pPr>
              <w:ind w:right="-455"/>
              <w:jc w:val="center"/>
              <w:rPr>
                <w:rFonts w:cs="Times New Roman"/>
                <w:sz w:val="18"/>
                <w:szCs w:val="18"/>
              </w:rPr>
            </w:pPr>
            <w:r>
              <w:rPr>
                <w:rFonts w:cs="Times New Roman"/>
                <w:sz w:val="18"/>
                <w:szCs w:val="18"/>
              </w:rPr>
              <w:t xml:space="preserve">Up to </w:t>
            </w:r>
            <w:r w:rsidRPr="007A42EB">
              <w:rPr>
                <w:rFonts w:cs="Times New Roman"/>
                <w:sz w:val="18"/>
                <w:szCs w:val="18"/>
              </w:rPr>
              <w:t>£100,000</w:t>
            </w:r>
          </w:p>
          <w:p w14:paraId="7900AF23" w14:textId="77777777" w:rsidR="00337EF0" w:rsidRPr="007A42EB" w:rsidRDefault="00337EF0" w:rsidP="003A39E4">
            <w:pPr>
              <w:ind w:right="-455"/>
              <w:rPr>
                <w:rFonts w:cs="Times New Roman"/>
                <w:sz w:val="18"/>
                <w:szCs w:val="18"/>
              </w:rPr>
            </w:pPr>
            <w:r w:rsidRPr="007A42EB">
              <w:rPr>
                <w:rFonts w:cs="Times New Roman"/>
                <w:sz w:val="18"/>
                <w:szCs w:val="18"/>
              </w:rPr>
              <w:t>(with consideration to the total emoluments the individual has received during their connection to the firm)</w:t>
            </w:r>
          </w:p>
        </w:tc>
        <w:tc>
          <w:tcPr>
            <w:tcW w:w="1166" w:type="pct"/>
          </w:tcPr>
          <w:p w14:paraId="2A4BD9F0" w14:textId="77777777" w:rsidR="00337EF0" w:rsidRDefault="00337EF0" w:rsidP="003A39E4">
            <w:pPr>
              <w:ind w:right="-42"/>
              <w:jc w:val="center"/>
              <w:rPr>
                <w:rFonts w:cs="Times New Roman"/>
                <w:sz w:val="18"/>
                <w:szCs w:val="18"/>
              </w:rPr>
            </w:pPr>
            <w:r>
              <w:rPr>
                <w:rFonts w:cs="Times New Roman"/>
                <w:sz w:val="18"/>
                <w:szCs w:val="18"/>
              </w:rPr>
              <w:t>Up to</w:t>
            </w:r>
            <w:r w:rsidRPr="007A42EB">
              <w:rPr>
                <w:rFonts w:cs="Times New Roman"/>
                <w:sz w:val="18"/>
                <w:szCs w:val="18"/>
              </w:rPr>
              <w:t xml:space="preserve"> £250,000</w:t>
            </w:r>
          </w:p>
          <w:p w14:paraId="3AF4885B" w14:textId="77777777" w:rsidR="00337EF0" w:rsidRPr="007A42EB" w:rsidRDefault="00337EF0" w:rsidP="003A39E4">
            <w:pPr>
              <w:ind w:right="-42"/>
              <w:rPr>
                <w:rFonts w:cs="Times New Roman"/>
                <w:sz w:val="18"/>
                <w:szCs w:val="18"/>
              </w:rPr>
            </w:pPr>
            <w:r w:rsidRPr="007A42EB">
              <w:rPr>
                <w:rFonts w:cs="Times New Roman"/>
                <w:sz w:val="18"/>
                <w:szCs w:val="18"/>
              </w:rPr>
              <w:t>(with consideration to the total emoluments the individual has received during their connection to the firm)</w:t>
            </w:r>
          </w:p>
        </w:tc>
        <w:tc>
          <w:tcPr>
            <w:tcW w:w="1359" w:type="pct"/>
          </w:tcPr>
          <w:p w14:paraId="521FDF6D" w14:textId="77777777" w:rsidR="00337EF0" w:rsidRPr="007A42EB" w:rsidRDefault="00337EF0" w:rsidP="003A39E4">
            <w:pPr>
              <w:ind w:right="-455"/>
              <w:jc w:val="center"/>
              <w:rPr>
                <w:rFonts w:cs="Times New Roman"/>
                <w:sz w:val="18"/>
                <w:szCs w:val="18"/>
              </w:rPr>
            </w:pPr>
            <w:r>
              <w:rPr>
                <w:rFonts w:cs="Times New Roman"/>
                <w:sz w:val="18"/>
                <w:szCs w:val="18"/>
              </w:rPr>
              <w:t>Up to £</w:t>
            </w:r>
            <w:r w:rsidRPr="007A42EB">
              <w:rPr>
                <w:rFonts w:cs="Times New Roman"/>
                <w:sz w:val="18"/>
                <w:szCs w:val="18"/>
              </w:rPr>
              <w:t>400,000</w:t>
            </w:r>
          </w:p>
          <w:p w14:paraId="2BCB46AB" w14:textId="77777777" w:rsidR="00337EF0" w:rsidRPr="007A42EB" w:rsidRDefault="00337EF0" w:rsidP="003A39E4">
            <w:pPr>
              <w:ind w:right="-32"/>
              <w:rPr>
                <w:rFonts w:cs="Times New Roman"/>
                <w:sz w:val="18"/>
                <w:szCs w:val="18"/>
              </w:rPr>
            </w:pPr>
            <w:r w:rsidRPr="007A42EB">
              <w:rPr>
                <w:rFonts w:cs="Times New Roman"/>
                <w:sz w:val="18"/>
                <w:szCs w:val="18"/>
              </w:rPr>
              <w:t>(with consideration to the total emoluments the individual has received during their connection to the firm)</w:t>
            </w:r>
          </w:p>
        </w:tc>
      </w:tr>
      <w:tr w:rsidR="00337EF0" w:rsidRPr="007A42EB" w14:paraId="2626B1C4" w14:textId="77777777" w:rsidTr="0021293B">
        <w:tc>
          <w:tcPr>
            <w:tcW w:w="5000" w:type="pct"/>
            <w:gridSpan w:val="4"/>
            <w:shd w:val="clear" w:color="auto" w:fill="943634" w:themeFill="accent2" w:themeFillShade="BF"/>
          </w:tcPr>
          <w:p w14:paraId="5C6F854A" w14:textId="77777777" w:rsidR="00337EF0" w:rsidRPr="007A42EB" w:rsidRDefault="00337EF0" w:rsidP="003A39E4">
            <w:pPr>
              <w:ind w:right="-455"/>
              <w:rPr>
                <w:rFonts w:cs="Times New Roman"/>
                <w:b/>
                <w:color w:val="FFFFFF" w:themeColor="background1"/>
                <w:sz w:val="18"/>
                <w:szCs w:val="18"/>
              </w:rPr>
            </w:pPr>
            <w:r w:rsidRPr="007A42EB">
              <w:rPr>
                <w:rFonts w:cs="Times New Roman"/>
                <w:b/>
                <w:color w:val="FFFFFF" w:themeColor="background1"/>
                <w:sz w:val="18"/>
                <w:szCs w:val="18"/>
              </w:rPr>
              <w:t>Characteristics</w:t>
            </w:r>
          </w:p>
          <w:p w14:paraId="3D594E89" w14:textId="77777777" w:rsidR="00337EF0" w:rsidRPr="007A42EB" w:rsidRDefault="00337EF0" w:rsidP="003A39E4">
            <w:pPr>
              <w:ind w:right="-455"/>
              <w:rPr>
                <w:rFonts w:cs="Times New Roman"/>
                <w:b/>
                <w:color w:val="FFFFFF" w:themeColor="background1"/>
                <w:sz w:val="18"/>
                <w:szCs w:val="18"/>
              </w:rPr>
            </w:pPr>
          </w:p>
        </w:tc>
      </w:tr>
      <w:tr w:rsidR="00337EF0" w:rsidRPr="007A42EB" w14:paraId="76EA1DCC" w14:textId="77777777" w:rsidTr="0021293B">
        <w:tc>
          <w:tcPr>
            <w:tcW w:w="1195" w:type="pct"/>
          </w:tcPr>
          <w:p w14:paraId="357E776F" w14:textId="77777777" w:rsidR="00337EF0" w:rsidRPr="007A42EB" w:rsidRDefault="00337EF0" w:rsidP="003A39E4">
            <w:pPr>
              <w:ind w:right="-64"/>
              <w:rPr>
                <w:rFonts w:cs="Times New Roman"/>
                <w:sz w:val="18"/>
                <w:szCs w:val="18"/>
              </w:rPr>
            </w:pPr>
            <w:r w:rsidRPr="007A42EB">
              <w:rPr>
                <w:rFonts w:cs="Times New Roman"/>
                <w:sz w:val="18"/>
                <w:szCs w:val="18"/>
              </w:rPr>
              <w:t>Small number of regulatory failings</w:t>
            </w:r>
            <w:r>
              <w:rPr>
                <w:rFonts w:cs="Times New Roman"/>
                <w:sz w:val="18"/>
                <w:szCs w:val="18"/>
              </w:rPr>
              <w:t>, none of which are serious in nature.</w:t>
            </w:r>
          </w:p>
        </w:tc>
        <w:tc>
          <w:tcPr>
            <w:tcW w:w="1280" w:type="pct"/>
          </w:tcPr>
          <w:p w14:paraId="4FB89EE3" w14:textId="77777777" w:rsidR="00337EF0" w:rsidRPr="007A42EB" w:rsidRDefault="00337EF0" w:rsidP="003A39E4">
            <w:pPr>
              <w:ind w:right="-53"/>
              <w:rPr>
                <w:rFonts w:cs="Times New Roman"/>
                <w:sz w:val="18"/>
                <w:szCs w:val="18"/>
              </w:rPr>
            </w:pPr>
            <w:r w:rsidRPr="007A42EB">
              <w:rPr>
                <w:rFonts w:cs="Times New Roman"/>
                <w:sz w:val="18"/>
                <w:szCs w:val="18"/>
              </w:rPr>
              <w:t>Several regulatory failings</w:t>
            </w:r>
            <w:r>
              <w:rPr>
                <w:rFonts w:cs="Times New Roman"/>
                <w:sz w:val="18"/>
                <w:szCs w:val="18"/>
              </w:rPr>
              <w:t>, which may or may not be serious in nature.</w:t>
            </w:r>
          </w:p>
        </w:tc>
        <w:tc>
          <w:tcPr>
            <w:tcW w:w="1166" w:type="pct"/>
          </w:tcPr>
          <w:p w14:paraId="78B441D4" w14:textId="77777777" w:rsidR="00337EF0" w:rsidRPr="007A42EB" w:rsidRDefault="00337EF0" w:rsidP="003A39E4">
            <w:pPr>
              <w:ind w:right="-42"/>
              <w:rPr>
                <w:rFonts w:cs="Times New Roman"/>
                <w:sz w:val="18"/>
                <w:szCs w:val="18"/>
              </w:rPr>
            </w:pPr>
            <w:r w:rsidRPr="007A42EB">
              <w:rPr>
                <w:rFonts w:cs="Times New Roman"/>
                <w:sz w:val="18"/>
                <w:szCs w:val="18"/>
              </w:rPr>
              <w:t>Significant failings but not systemic</w:t>
            </w:r>
            <w:r>
              <w:rPr>
                <w:rFonts w:cs="Times New Roman"/>
                <w:sz w:val="18"/>
                <w:szCs w:val="18"/>
              </w:rPr>
              <w:t>, which may or may not be serious in nature.</w:t>
            </w:r>
          </w:p>
        </w:tc>
        <w:tc>
          <w:tcPr>
            <w:tcW w:w="1359" w:type="pct"/>
          </w:tcPr>
          <w:p w14:paraId="364E5A47" w14:textId="77777777" w:rsidR="00337EF0" w:rsidRPr="007A42EB" w:rsidRDefault="00337EF0" w:rsidP="003A39E4">
            <w:pPr>
              <w:ind w:right="-32"/>
              <w:rPr>
                <w:rFonts w:cs="Times New Roman"/>
                <w:sz w:val="18"/>
                <w:szCs w:val="18"/>
              </w:rPr>
            </w:pPr>
            <w:r w:rsidRPr="007A42EB">
              <w:rPr>
                <w:rFonts w:cs="Times New Roman"/>
                <w:sz w:val="18"/>
                <w:szCs w:val="18"/>
              </w:rPr>
              <w:t>Systemic failings</w:t>
            </w:r>
            <w:r>
              <w:rPr>
                <w:rFonts w:cs="Times New Roman"/>
                <w:sz w:val="18"/>
                <w:szCs w:val="18"/>
              </w:rPr>
              <w:t>, which may or may not be serious in nature.</w:t>
            </w:r>
          </w:p>
        </w:tc>
      </w:tr>
      <w:tr w:rsidR="00337EF0" w:rsidRPr="007A42EB" w14:paraId="222ED240" w14:textId="77777777" w:rsidTr="0021293B">
        <w:tc>
          <w:tcPr>
            <w:tcW w:w="1195" w:type="pct"/>
          </w:tcPr>
          <w:p w14:paraId="0E860A4E" w14:textId="77777777" w:rsidR="00337EF0" w:rsidRPr="007A42EB" w:rsidRDefault="00337EF0" w:rsidP="003A39E4">
            <w:pPr>
              <w:ind w:right="-64"/>
              <w:rPr>
                <w:rFonts w:cs="Times New Roman"/>
                <w:sz w:val="18"/>
                <w:szCs w:val="18"/>
              </w:rPr>
            </w:pPr>
            <w:r w:rsidRPr="007A42EB">
              <w:rPr>
                <w:rFonts w:cs="Times New Roman"/>
                <w:sz w:val="18"/>
                <w:szCs w:val="18"/>
              </w:rPr>
              <w:t>Licensee was open and co-operative with the Commission</w:t>
            </w:r>
          </w:p>
        </w:tc>
        <w:tc>
          <w:tcPr>
            <w:tcW w:w="1280" w:type="pct"/>
          </w:tcPr>
          <w:p w14:paraId="47461B17" w14:textId="77777777" w:rsidR="00337EF0" w:rsidRPr="007A42EB" w:rsidRDefault="00337EF0" w:rsidP="003A39E4">
            <w:pPr>
              <w:ind w:right="-53"/>
              <w:rPr>
                <w:rFonts w:cs="Times New Roman"/>
                <w:sz w:val="18"/>
                <w:szCs w:val="18"/>
              </w:rPr>
            </w:pPr>
            <w:r w:rsidRPr="007A42EB">
              <w:rPr>
                <w:rFonts w:cs="Times New Roman"/>
                <w:sz w:val="18"/>
                <w:szCs w:val="18"/>
              </w:rPr>
              <w:t>Risk of loss to clients of the licensee</w:t>
            </w:r>
          </w:p>
        </w:tc>
        <w:tc>
          <w:tcPr>
            <w:tcW w:w="1166" w:type="pct"/>
          </w:tcPr>
          <w:p w14:paraId="678A2981" w14:textId="77777777" w:rsidR="00337EF0" w:rsidRPr="007A42EB" w:rsidRDefault="00337EF0" w:rsidP="003A39E4">
            <w:pPr>
              <w:ind w:right="-42"/>
              <w:rPr>
                <w:rFonts w:cs="Times New Roman"/>
                <w:sz w:val="18"/>
                <w:szCs w:val="18"/>
              </w:rPr>
            </w:pPr>
            <w:r>
              <w:rPr>
                <w:rFonts w:cs="Times New Roman"/>
                <w:sz w:val="18"/>
                <w:szCs w:val="18"/>
              </w:rPr>
              <w:t xml:space="preserve">Risk of </w:t>
            </w:r>
            <w:r w:rsidRPr="007A42EB">
              <w:rPr>
                <w:rFonts w:cs="Times New Roman"/>
                <w:sz w:val="18"/>
                <w:szCs w:val="18"/>
              </w:rPr>
              <w:t>loss to clients of the licensee</w:t>
            </w:r>
          </w:p>
        </w:tc>
        <w:tc>
          <w:tcPr>
            <w:tcW w:w="1359" w:type="pct"/>
          </w:tcPr>
          <w:p w14:paraId="3A672623" w14:textId="77777777" w:rsidR="00337EF0" w:rsidRPr="007A42EB" w:rsidRDefault="00337EF0" w:rsidP="003A39E4">
            <w:pPr>
              <w:ind w:right="-32"/>
              <w:rPr>
                <w:rFonts w:cs="Times New Roman"/>
                <w:sz w:val="18"/>
                <w:szCs w:val="18"/>
              </w:rPr>
            </w:pPr>
            <w:r w:rsidRPr="007A42EB">
              <w:rPr>
                <w:rFonts w:cs="Times New Roman"/>
                <w:sz w:val="18"/>
                <w:szCs w:val="18"/>
              </w:rPr>
              <w:t>Significant risk of loss to clients or actual loss to clients</w:t>
            </w:r>
          </w:p>
        </w:tc>
      </w:tr>
      <w:tr w:rsidR="00337EF0" w:rsidRPr="007A42EB" w14:paraId="6EE7AE99" w14:textId="77777777" w:rsidTr="0021293B">
        <w:tc>
          <w:tcPr>
            <w:tcW w:w="1195" w:type="pct"/>
          </w:tcPr>
          <w:p w14:paraId="7944AA4D" w14:textId="77777777" w:rsidR="00337EF0" w:rsidRPr="007A42EB" w:rsidRDefault="00337EF0" w:rsidP="003A39E4">
            <w:pPr>
              <w:ind w:right="-64"/>
              <w:rPr>
                <w:rFonts w:cs="Times New Roman"/>
                <w:sz w:val="18"/>
                <w:szCs w:val="18"/>
              </w:rPr>
            </w:pPr>
            <w:r w:rsidRPr="007A42EB">
              <w:rPr>
                <w:rFonts w:cs="Times New Roman"/>
                <w:sz w:val="18"/>
                <w:szCs w:val="18"/>
              </w:rPr>
              <w:t>Small risk of financial crime or being used to facilitate financial crime</w:t>
            </w:r>
          </w:p>
        </w:tc>
        <w:tc>
          <w:tcPr>
            <w:tcW w:w="1280" w:type="pct"/>
          </w:tcPr>
          <w:p w14:paraId="5A464FFF" w14:textId="77777777" w:rsidR="00337EF0" w:rsidRPr="007A42EB" w:rsidRDefault="00337EF0" w:rsidP="003A39E4">
            <w:pPr>
              <w:ind w:right="-53"/>
              <w:rPr>
                <w:rFonts w:cs="Times New Roman"/>
                <w:sz w:val="18"/>
                <w:szCs w:val="18"/>
              </w:rPr>
            </w:pPr>
            <w:r w:rsidRPr="007A42EB">
              <w:rPr>
                <w:rFonts w:cs="Times New Roman"/>
                <w:sz w:val="18"/>
                <w:szCs w:val="18"/>
              </w:rPr>
              <w:t>Risk to the reputation of the Bailiwick</w:t>
            </w:r>
          </w:p>
        </w:tc>
        <w:tc>
          <w:tcPr>
            <w:tcW w:w="1166" w:type="pct"/>
          </w:tcPr>
          <w:p w14:paraId="5677C593" w14:textId="77777777" w:rsidR="00337EF0" w:rsidRPr="007A42EB" w:rsidRDefault="00337EF0" w:rsidP="003A39E4">
            <w:pPr>
              <w:ind w:right="-42"/>
              <w:rPr>
                <w:rFonts w:cs="Times New Roman"/>
                <w:sz w:val="18"/>
                <w:szCs w:val="18"/>
              </w:rPr>
            </w:pPr>
            <w:r w:rsidRPr="007A42EB">
              <w:rPr>
                <w:rFonts w:cs="Times New Roman"/>
                <w:sz w:val="18"/>
                <w:szCs w:val="18"/>
              </w:rPr>
              <w:t>Significant risk to the reputation of the Bailiwick</w:t>
            </w:r>
          </w:p>
        </w:tc>
        <w:tc>
          <w:tcPr>
            <w:tcW w:w="1359" w:type="pct"/>
          </w:tcPr>
          <w:p w14:paraId="4BE36D5F" w14:textId="77777777" w:rsidR="00337EF0" w:rsidRPr="007A42EB" w:rsidRDefault="00337EF0" w:rsidP="003A39E4">
            <w:pPr>
              <w:ind w:right="-32"/>
              <w:rPr>
                <w:rFonts w:cs="Times New Roman"/>
                <w:sz w:val="18"/>
                <w:szCs w:val="18"/>
              </w:rPr>
            </w:pPr>
            <w:r w:rsidRPr="007A42EB">
              <w:rPr>
                <w:rFonts w:cs="Times New Roman"/>
                <w:sz w:val="18"/>
                <w:szCs w:val="18"/>
              </w:rPr>
              <w:t>Significant risk to the reputation of the Bailiwick</w:t>
            </w:r>
          </w:p>
        </w:tc>
      </w:tr>
      <w:tr w:rsidR="00337EF0" w:rsidRPr="007A42EB" w14:paraId="63CCC642" w14:textId="77777777" w:rsidTr="0021293B">
        <w:tc>
          <w:tcPr>
            <w:tcW w:w="1195" w:type="pct"/>
          </w:tcPr>
          <w:p w14:paraId="492222A9" w14:textId="77777777" w:rsidR="00337EF0" w:rsidRPr="007A42EB" w:rsidRDefault="00337EF0" w:rsidP="003A39E4">
            <w:pPr>
              <w:ind w:right="-64"/>
              <w:rPr>
                <w:rFonts w:cs="Times New Roman"/>
                <w:sz w:val="18"/>
                <w:szCs w:val="18"/>
              </w:rPr>
            </w:pPr>
            <w:r w:rsidRPr="007A42EB">
              <w:rPr>
                <w:rFonts w:cs="Times New Roman"/>
                <w:sz w:val="18"/>
                <w:szCs w:val="18"/>
              </w:rPr>
              <w:t>Licensee brought breaches to the Commission’s attention</w:t>
            </w:r>
          </w:p>
        </w:tc>
        <w:tc>
          <w:tcPr>
            <w:tcW w:w="1280" w:type="pct"/>
          </w:tcPr>
          <w:p w14:paraId="3D9889A2" w14:textId="77777777" w:rsidR="00337EF0" w:rsidRPr="007A42EB" w:rsidRDefault="00337EF0" w:rsidP="003A39E4">
            <w:pPr>
              <w:ind w:right="-53"/>
              <w:rPr>
                <w:rFonts w:cs="Times New Roman"/>
                <w:sz w:val="18"/>
                <w:szCs w:val="18"/>
              </w:rPr>
            </w:pPr>
            <w:r w:rsidRPr="007A42EB">
              <w:rPr>
                <w:rFonts w:cs="Times New Roman"/>
                <w:sz w:val="18"/>
                <w:szCs w:val="18"/>
              </w:rPr>
              <w:t>Licensee was open and co-operative with the Commission</w:t>
            </w:r>
          </w:p>
        </w:tc>
        <w:tc>
          <w:tcPr>
            <w:tcW w:w="1166" w:type="pct"/>
          </w:tcPr>
          <w:p w14:paraId="1FE4D655" w14:textId="77777777" w:rsidR="00337EF0" w:rsidRPr="007A42EB" w:rsidRDefault="00337EF0" w:rsidP="003A39E4">
            <w:pPr>
              <w:ind w:right="-42"/>
              <w:rPr>
                <w:rFonts w:cs="Times New Roman"/>
                <w:sz w:val="18"/>
                <w:szCs w:val="18"/>
              </w:rPr>
            </w:pPr>
            <w:r w:rsidRPr="007A42EB">
              <w:rPr>
                <w:rFonts w:cs="Times New Roman"/>
                <w:sz w:val="18"/>
                <w:szCs w:val="18"/>
              </w:rPr>
              <w:t>Licensee was not open and co-operative with the Commission</w:t>
            </w:r>
          </w:p>
        </w:tc>
        <w:tc>
          <w:tcPr>
            <w:tcW w:w="1359" w:type="pct"/>
          </w:tcPr>
          <w:p w14:paraId="28FF437C" w14:textId="77777777" w:rsidR="00337EF0" w:rsidRPr="007A42EB" w:rsidRDefault="00337EF0" w:rsidP="003A39E4">
            <w:pPr>
              <w:ind w:right="-32"/>
              <w:rPr>
                <w:rFonts w:cs="Times New Roman"/>
                <w:sz w:val="18"/>
                <w:szCs w:val="18"/>
              </w:rPr>
            </w:pPr>
            <w:r w:rsidRPr="007A42EB">
              <w:rPr>
                <w:rFonts w:cs="Times New Roman"/>
                <w:sz w:val="18"/>
                <w:szCs w:val="18"/>
              </w:rPr>
              <w:t>Licensee was not open and co-operative with the Commission</w:t>
            </w:r>
          </w:p>
        </w:tc>
      </w:tr>
      <w:tr w:rsidR="00337EF0" w:rsidRPr="007A42EB" w14:paraId="308B2AB1" w14:textId="77777777" w:rsidTr="0021293B">
        <w:tc>
          <w:tcPr>
            <w:tcW w:w="1195" w:type="pct"/>
          </w:tcPr>
          <w:p w14:paraId="41DEC67E" w14:textId="77777777" w:rsidR="00337EF0" w:rsidRPr="007A42EB" w:rsidRDefault="00337EF0" w:rsidP="003A39E4">
            <w:pPr>
              <w:ind w:right="-64"/>
              <w:rPr>
                <w:rFonts w:cs="Times New Roman"/>
                <w:sz w:val="18"/>
                <w:szCs w:val="18"/>
              </w:rPr>
            </w:pPr>
            <w:r w:rsidRPr="007A42EB">
              <w:rPr>
                <w:rFonts w:cs="Times New Roman"/>
                <w:sz w:val="18"/>
                <w:szCs w:val="18"/>
              </w:rPr>
              <w:t>Steps taken to rectify breach(</w:t>
            </w:r>
            <w:proofErr w:type="spellStart"/>
            <w:r w:rsidRPr="007A42EB">
              <w:rPr>
                <w:rFonts w:cs="Times New Roman"/>
                <w:sz w:val="18"/>
                <w:szCs w:val="18"/>
              </w:rPr>
              <w:t>es</w:t>
            </w:r>
            <w:proofErr w:type="spellEnd"/>
            <w:r w:rsidRPr="007A42EB">
              <w:rPr>
                <w:rFonts w:cs="Times New Roman"/>
                <w:sz w:val="18"/>
                <w:szCs w:val="18"/>
              </w:rPr>
              <w:t>) and prevent recurrence</w:t>
            </w:r>
          </w:p>
        </w:tc>
        <w:tc>
          <w:tcPr>
            <w:tcW w:w="1280" w:type="pct"/>
          </w:tcPr>
          <w:p w14:paraId="1A71948F" w14:textId="77777777" w:rsidR="00337EF0" w:rsidRPr="007A42EB" w:rsidRDefault="00337EF0" w:rsidP="003A39E4">
            <w:pPr>
              <w:ind w:right="-53"/>
              <w:rPr>
                <w:rFonts w:cs="Times New Roman"/>
                <w:sz w:val="18"/>
                <w:szCs w:val="18"/>
              </w:rPr>
            </w:pPr>
            <w:r w:rsidRPr="007A42EB">
              <w:rPr>
                <w:rFonts w:cs="Times New Roman"/>
                <w:sz w:val="18"/>
                <w:szCs w:val="18"/>
              </w:rPr>
              <w:t>Risk of financial crime or being used to facilitate financial crime</w:t>
            </w:r>
          </w:p>
        </w:tc>
        <w:tc>
          <w:tcPr>
            <w:tcW w:w="1166" w:type="pct"/>
          </w:tcPr>
          <w:p w14:paraId="125D020D" w14:textId="77777777" w:rsidR="00337EF0" w:rsidRPr="007A42EB" w:rsidRDefault="00337EF0" w:rsidP="003A39E4">
            <w:pPr>
              <w:ind w:right="-42"/>
              <w:rPr>
                <w:rFonts w:cs="Times New Roman"/>
                <w:sz w:val="18"/>
                <w:szCs w:val="18"/>
              </w:rPr>
            </w:pPr>
            <w:r w:rsidRPr="007A42EB">
              <w:rPr>
                <w:rFonts w:cs="Times New Roman"/>
                <w:sz w:val="18"/>
                <w:szCs w:val="18"/>
              </w:rPr>
              <w:t>Significant risk of financial crime or being used to facilitate financial crime</w:t>
            </w:r>
          </w:p>
        </w:tc>
        <w:tc>
          <w:tcPr>
            <w:tcW w:w="1359" w:type="pct"/>
          </w:tcPr>
          <w:p w14:paraId="152466DF" w14:textId="77777777" w:rsidR="00337EF0" w:rsidRPr="007A42EB" w:rsidRDefault="00337EF0" w:rsidP="003A39E4">
            <w:pPr>
              <w:ind w:right="-32"/>
              <w:rPr>
                <w:rFonts w:cs="Times New Roman"/>
                <w:sz w:val="18"/>
                <w:szCs w:val="18"/>
              </w:rPr>
            </w:pPr>
            <w:r w:rsidRPr="007A42EB">
              <w:rPr>
                <w:rFonts w:cs="Times New Roman"/>
                <w:sz w:val="18"/>
                <w:szCs w:val="18"/>
              </w:rPr>
              <w:t>Financial crime committed or licensee used to facilitate financial crime</w:t>
            </w:r>
          </w:p>
        </w:tc>
      </w:tr>
      <w:tr w:rsidR="00337EF0" w:rsidRPr="007A42EB" w14:paraId="333FAAF9" w14:textId="77777777" w:rsidTr="0021293B">
        <w:tc>
          <w:tcPr>
            <w:tcW w:w="1195" w:type="pct"/>
          </w:tcPr>
          <w:p w14:paraId="65F18C2F" w14:textId="77777777" w:rsidR="00337EF0" w:rsidRPr="007A42EB" w:rsidRDefault="00337EF0" w:rsidP="003A39E4">
            <w:pPr>
              <w:ind w:right="-64"/>
              <w:jc w:val="center"/>
              <w:rPr>
                <w:rFonts w:cs="Times New Roman"/>
                <w:sz w:val="18"/>
                <w:szCs w:val="18"/>
              </w:rPr>
            </w:pPr>
          </w:p>
        </w:tc>
        <w:tc>
          <w:tcPr>
            <w:tcW w:w="1280" w:type="pct"/>
          </w:tcPr>
          <w:p w14:paraId="7E9BD6A4" w14:textId="77777777" w:rsidR="00337EF0" w:rsidRPr="007A42EB" w:rsidRDefault="00337EF0" w:rsidP="003A39E4">
            <w:pPr>
              <w:ind w:right="-53"/>
              <w:rPr>
                <w:rFonts w:cs="Times New Roman"/>
                <w:sz w:val="18"/>
                <w:szCs w:val="18"/>
              </w:rPr>
            </w:pPr>
            <w:r w:rsidRPr="007A42EB">
              <w:rPr>
                <w:rFonts w:cs="Times New Roman"/>
                <w:sz w:val="18"/>
                <w:szCs w:val="18"/>
              </w:rPr>
              <w:t>Licensee acknowledged, straight away, or within a short time, breaches when brought to their attention</w:t>
            </w:r>
          </w:p>
        </w:tc>
        <w:tc>
          <w:tcPr>
            <w:tcW w:w="1166" w:type="pct"/>
          </w:tcPr>
          <w:p w14:paraId="3B863D2D" w14:textId="77777777" w:rsidR="00337EF0" w:rsidRPr="007A42EB" w:rsidRDefault="00337EF0" w:rsidP="003A39E4">
            <w:pPr>
              <w:ind w:right="-42"/>
              <w:rPr>
                <w:rFonts w:cs="Times New Roman"/>
                <w:sz w:val="18"/>
                <w:szCs w:val="18"/>
              </w:rPr>
            </w:pPr>
            <w:r w:rsidRPr="007A42EB">
              <w:rPr>
                <w:rFonts w:cs="Times New Roman"/>
                <w:sz w:val="18"/>
                <w:szCs w:val="18"/>
              </w:rPr>
              <w:t>Licensee failed to acknowledge breaches</w:t>
            </w:r>
          </w:p>
        </w:tc>
        <w:tc>
          <w:tcPr>
            <w:tcW w:w="1359" w:type="pct"/>
          </w:tcPr>
          <w:p w14:paraId="27E5BAE5" w14:textId="77777777" w:rsidR="00337EF0" w:rsidRPr="007A42EB" w:rsidRDefault="00337EF0" w:rsidP="003A39E4">
            <w:pPr>
              <w:ind w:right="-32"/>
              <w:rPr>
                <w:rFonts w:cs="Times New Roman"/>
                <w:sz w:val="18"/>
                <w:szCs w:val="18"/>
              </w:rPr>
            </w:pPr>
            <w:r w:rsidRPr="007A42EB">
              <w:rPr>
                <w:rFonts w:cs="Times New Roman"/>
                <w:sz w:val="18"/>
                <w:szCs w:val="18"/>
              </w:rPr>
              <w:t>Licensee deliberately withheld the breaches from the Commission in order to either obtain a benefit or mitigate a loss</w:t>
            </w:r>
          </w:p>
        </w:tc>
      </w:tr>
      <w:tr w:rsidR="00337EF0" w:rsidRPr="007A42EB" w14:paraId="795AEFF5" w14:textId="77777777" w:rsidTr="0021293B">
        <w:tc>
          <w:tcPr>
            <w:tcW w:w="1195" w:type="pct"/>
          </w:tcPr>
          <w:p w14:paraId="2C8EECBF" w14:textId="77777777" w:rsidR="00337EF0" w:rsidRPr="007A42EB" w:rsidRDefault="00337EF0" w:rsidP="003A39E4">
            <w:pPr>
              <w:ind w:right="-64"/>
              <w:jc w:val="center"/>
              <w:rPr>
                <w:rFonts w:cs="Times New Roman"/>
                <w:sz w:val="18"/>
                <w:szCs w:val="18"/>
              </w:rPr>
            </w:pPr>
          </w:p>
        </w:tc>
        <w:tc>
          <w:tcPr>
            <w:tcW w:w="1280" w:type="pct"/>
          </w:tcPr>
          <w:p w14:paraId="021D3082" w14:textId="77777777" w:rsidR="00337EF0" w:rsidRPr="007A42EB" w:rsidRDefault="00337EF0" w:rsidP="003A39E4">
            <w:pPr>
              <w:ind w:right="-53"/>
              <w:rPr>
                <w:rFonts w:cs="Times New Roman"/>
                <w:sz w:val="18"/>
                <w:szCs w:val="18"/>
              </w:rPr>
            </w:pPr>
            <w:r w:rsidRPr="007A42EB">
              <w:rPr>
                <w:rFonts w:cs="Times New Roman"/>
                <w:sz w:val="18"/>
                <w:szCs w:val="18"/>
              </w:rPr>
              <w:t>Steps taken to rectify breach(</w:t>
            </w:r>
            <w:proofErr w:type="spellStart"/>
            <w:r w:rsidRPr="007A42EB">
              <w:rPr>
                <w:rFonts w:cs="Times New Roman"/>
                <w:sz w:val="18"/>
                <w:szCs w:val="18"/>
              </w:rPr>
              <w:t>es</w:t>
            </w:r>
            <w:proofErr w:type="spellEnd"/>
            <w:r w:rsidRPr="007A42EB">
              <w:rPr>
                <w:rFonts w:cs="Times New Roman"/>
                <w:sz w:val="18"/>
                <w:szCs w:val="18"/>
              </w:rPr>
              <w:t>) and prevent recurrence but insufficient</w:t>
            </w:r>
          </w:p>
        </w:tc>
        <w:tc>
          <w:tcPr>
            <w:tcW w:w="1166" w:type="pct"/>
          </w:tcPr>
          <w:p w14:paraId="34DAABE4" w14:textId="77777777" w:rsidR="00337EF0" w:rsidRPr="007A42EB" w:rsidRDefault="00337EF0" w:rsidP="003A39E4">
            <w:pPr>
              <w:ind w:right="-42"/>
              <w:rPr>
                <w:rFonts w:cs="Times New Roman"/>
                <w:sz w:val="18"/>
                <w:szCs w:val="18"/>
              </w:rPr>
            </w:pPr>
            <w:r w:rsidRPr="007A42EB">
              <w:rPr>
                <w:rFonts w:cs="Times New Roman"/>
                <w:sz w:val="18"/>
                <w:szCs w:val="18"/>
              </w:rPr>
              <w:t>Few steps taken to rectify breach(</w:t>
            </w:r>
            <w:proofErr w:type="spellStart"/>
            <w:r w:rsidRPr="007A42EB">
              <w:rPr>
                <w:rFonts w:cs="Times New Roman"/>
                <w:sz w:val="18"/>
                <w:szCs w:val="18"/>
              </w:rPr>
              <w:t>es</w:t>
            </w:r>
            <w:proofErr w:type="spellEnd"/>
            <w:r w:rsidRPr="007A42EB">
              <w:rPr>
                <w:rFonts w:cs="Times New Roman"/>
                <w:sz w:val="18"/>
                <w:szCs w:val="18"/>
              </w:rPr>
              <w:t>) and prevent recurrence and steps insufficient</w:t>
            </w:r>
          </w:p>
        </w:tc>
        <w:tc>
          <w:tcPr>
            <w:tcW w:w="1359" w:type="pct"/>
          </w:tcPr>
          <w:p w14:paraId="44011A4E" w14:textId="77777777" w:rsidR="00337EF0" w:rsidRPr="007A42EB" w:rsidRDefault="00337EF0" w:rsidP="003A39E4">
            <w:pPr>
              <w:ind w:right="-32"/>
              <w:rPr>
                <w:rFonts w:cs="Times New Roman"/>
                <w:sz w:val="18"/>
                <w:szCs w:val="18"/>
              </w:rPr>
            </w:pPr>
            <w:r w:rsidRPr="007A42EB">
              <w:rPr>
                <w:rFonts w:cs="Times New Roman"/>
                <w:sz w:val="18"/>
                <w:szCs w:val="18"/>
              </w:rPr>
              <w:t>No steps taken to rectify breach(</w:t>
            </w:r>
            <w:proofErr w:type="spellStart"/>
            <w:r w:rsidRPr="007A42EB">
              <w:rPr>
                <w:rFonts w:cs="Times New Roman"/>
                <w:sz w:val="18"/>
                <w:szCs w:val="18"/>
              </w:rPr>
              <w:t>es</w:t>
            </w:r>
            <w:proofErr w:type="spellEnd"/>
            <w:r w:rsidRPr="007A42EB">
              <w:rPr>
                <w:rFonts w:cs="Times New Roman"/>
                <w:sz w:val="18"/>
                <w:szCs w:val="18"/>
              </w:rPr>
              <w:t>)</w:t>
            </w:r>
          </w:p>
        </w:tc>
      </w:tr>
      <w:tr w:rsidR="00337EF0" w:rsidRPr="007A42EB" w14:paraId="458E2D1E" w14:textId="77777777" w:rsidTr="0021293B">
        <w:tc>
          <w:tcPr>
            <w:tcW w:w="1195" w:type="pct"/>
          </w:tcPr>
          <w:p w14:paraId="30B4911A" w14:textId="77777777" w:rsidR="00337EF0" w:rsidRPr="007A42EB" w:rsidRDefault="00337EF0" w:rsidP="003A39E4">
            <w:pPr>
              <w:ind w:right="-64"/>
              <w:jc w:val="center"/>
              <w:rPr>
                <w:rFonts w:cs="Times New Roman"/>
                <w:sz w:val="18"/>
                <w:szCs w:val="18"/>
              </w:rPr>
            </w:pPr>
          </w:p>
        </w:tc>
        <w:tc>
          <w:tcPr>
            <w:tcW w:w="1280" w:type="pct"/>
          </w:tcPr>
          <w:p w14:paraId="1A2F591B" w14:textId="77777777" w:rsidR="00337EF0" w:rsidRPr="007A42EB" w:rsidRDefault="00337EF0" w:rsidP="003A39E4">
            <w:pPr>
              <w:ind w:right="-53"/>
              <w:rPr>
                <w:rFonts w:cs="Times New Roman"/>
                <w:sz w:val="18"/>
                <w:szCs w:val="18"/>
              </w:rPr>
            </w:pPr>
            <w:r w:rsidRPr="007A42EB">
              <w:rPr>
                <w:rFonts w:cs="Times New Roman"/>
                <w:sz w:val="18"/>
                <w:szCs w:val="18"/>
              </w:rPr>
              <w:t xml:space="preserve">Previous </w:t>
            </w:r>
            <w:r>
              <w:rPr>
                <w:rFonts w:cs="Times New Roman"/>
                <w:sz w:val="18"/>
                <w:szCs w:val="18"/>
              </w:rPr>
              <w:t xml:space="preserve">unconnected </w:t>
            </w:r>
            <w:r w:rsidRPr="007A42EB">
              <w:rPr>
                <w:rFonts w:cs="Times New Roman"/>
                <w:sz w:val="18"/>
                <w:szCs w:val="18"/>
              </w:rPr>
              <w:t>regulatory breaches</w:t>
            </w:r>
          </w:p>
        </w:tc>
        <w:tc>
          <w:tcPr>
            <w:tcW w:w="1166" w:type="pct"/>
          </w:tcPr>
          <w:p w14:paraId="257A1F4D" w14:textId="77777777" w:rsidR="00337EF0" w:rsidRPr="007A42EB" w:rsidRDefault="00337EF0" w:rsidP="003A39E4">
            <w:pPr>
              <w:ind w:right="-42"/>
              <w:rPr>
                <w:rFonts w:cs="Times New Roman"/>
                <w:sz w:val="18"/>
                <w:szCs w:val="18"/>
              </w:rPr>
            </w:pPr>
            <w:r w:rsidRPr="007A42EB">
              <w:rPr>
                <w:rFonts w:cs="Times New Roman"/>
                <w:sz w:val="18"/>
                <w:szCs w:val="18"/>
              </w:rPr>
              <w:t>Previous regulatory breaches</w:t>
            </w:r>
            <w:r>
              <w:rPr>
                <w:rFonts w:cs="Times New Roman"/>
                <w:sz w:val="18"/>
                <w:szCs w:val="18"/>
              </w:rPr>
              <w:t xml:space="preserve"> which may or may not be connected</w:t>
            </w:r>
          </w:p>
        </w:tc>
        <w:tc>
          <w:tcPr>
            <w:tcW w:w="1359" w:type="pct"/>
          </w:tcPr>
          <w:p w14:paraId="590F932E" w14:textId="77777777" w:rsidR="00337EF0" w:rsidRPr="007A42EB" w:rsidRDefault="00337EF0" w:rsidP="003A39E4">
            <w:pPr>
              <w:ind w:right="-32"/>
              <w:rPr>
                <w:rFonts w:cs="Times New Roman"/>
                <w:sz w:val="18"/>
                <w:szCs w:val="18"/>
              </w:rPr>
            </w:pPr>
            <w:r w:rsidRPr="007A42EB">
              <w:rPr>
                <w:rFonts w:cs="Times New Roman"/>
                <w:sz w:val="18"/>
                <w:szCs w:val="18"/>
              </w:rPr>
              <w:t>Poor regulatory history</w:t>
            </w:r>
            <w:r>
              <w:rPr>
                <w:rFonts w:cs="Times New Roman"/>
                <w:sz w:val="18"/>
                <w:szCs w:val="18"/>
              </w:rPr>
              <w:t xml:space="preserve"> which may or may not be connected </w:t>
            </w:r>
          </w:p>
        </w:tc>
      </w:tr>
    </w:tbl>
    <w:p w14:paraId="7A65B6D4" w14:textId="77777777" w:rsidR="00337EF0" w:rsidRPr="00820AE4" w:rsidRDefault="00337EF0" w:rsidP="00337EF0">
      <w:pPr>
        <w:spacing w:line="240" w:lineRule="auto"/>
        <w:ind w:right="-31"/>
        <w:jc w:val="both"/>
        <w:rPr>
          <w:rFonts w:ascii="Times New Roman" w:hAnsi="Times New Roman" w:cs="Times New Roman"/>
          <w:b/>
          <w:sz w:val="18"/>
          <w:szCs w:val="18"/>
        </w:rPr>
      </w:pPr>
      <w:r>
        <w:rPr>
          <w:rFonts w:ascii="Times New Roman" w:hAnsi="Times New Roman" w:cs="Times New Roman"/>
          <w:sz w:val="18"/>
          <w:szCs w:val="18"/>
        </w:rPr>
        <w:t>*</w:t>
      </w:r>
      <w:r w:rsidRPr="00820AE4">
        <w:rPr>
          <w:rFonts w:ascii="Times New Roman" w:hAnsi="Times New Roman" w:cs="Times New Roman"/>
          <w:b/>
          <w:sz w:val="18"/>
          <w:szCs w:val="18"/>
        </w:rPr>
        <w:t>Supervisory action will often be more appropriate for failings identified in Band 1 and as such we will not seek to enforce on the characteris</w:t>
      </w:r>
      <w:r>
        <w:rPr>
          <w:rFonts w:ascii="Times New Roman" w:hAnsi="Times New Roman" w:cs="Times New Roman"/>
          <w:b/>
          <w:sz w:val="18"/>
          <w:szCs w:val="18"/>
        </w:rPr>
        <w:t>tics within this band where</w:t>
      </w:r>
      <w:r w:rsidRPr="00820AE4">
        <w:rPr>
          <w:rFonts w:ascii="Times New Roman" w:hAnsi="Times New Roman" w:cs="Times New Roman"/>
          <w:b/>
          <w:sz w:val="18"/>
          <w:szCs w:val="18"/>
        </w:rPr>
        <w:t xml:space="preserve"> supervisory </w:t>
      </w:r>
      <w:proofErr w:type="gramStart"/>
      <w:r w:rsidRPr="00820AE4">
        <w:rPr>
          <w:rFonts w:ascii="Times New Roman" w:hAnsi="Times New Roman" w:cs="Times New Roman"/>
          <w:b/>
          <w:sz w:val="18"/>
          <w:szCs w:val="18"/>
        </w:rPr>
        <w:t>action</w:t>
      </w:r>
      <w:proofErr w:type="gramEnd"/>
      <w:r w:rsidRPr="00820AE4">
        <w:rPr>
          <w:rFonts w:ascii="Times New Roman" w:hAnsi="Times New Roman" w:cs="Times New Roman"/>
          <w:b/>
          <w:sz w:val="18"/>
          <w:szCs w:val="18"/>
        </w:rPr>
        <w:t xml:space="preserve"> is deemed to be sufficient.</w:t>
      </w:r>
    </w:p>
    <w:p w14:paraId="1B9CC3FC" w14:textId="62DFE291" w:rsidR="0005264A" w:rsidRPr="007A42EB" w:rsidRDefault="00337EF0" w:rsidP="00E34696">
      <w:pPr>
        <w:spacing w:line="240" w:lineRule="auto"/>
        <w:ind w:right="-31"/>
        <w:jc w:val="both"/>
        <w:rPr>
          <w:rFonts w:ascii="Times New Roman" w:hAnsi="Times New Roman" w:cs="Times New Roman"/>
          <w:sz w:val="18"/>
          <w:szCs w:val="18"/>
        </w:rPr>
      </w:pPr>
      <w:r>
        <w:rPr>
          <w:rFonts w:ascii="Times New Roman" w:hAnsi="Times New Roman" w:cs="Times New Roman"/>
          <w:sz w:val="18"/>
          <w:szCs w:val="18"/>
        </w:rPr>
        <w:t xml:space="preserve">The schedule above </w:t>
      </w:r>
      <w:r w:rsidRPr="007A42EB">
        <w:rPr>
          <w:rFonts w:ascii="Times New Roman" w:hAnsi="Times New Roman" w:cs="Times New Roman"/>
          <w:sz w:val="18"/>
          <w:szCs w:val="18"/>
        </w:rPr>
        <w:t>is only a guide and the sanctions recommended in individual cases may differ.  Each case will be assessed on its own merits taking into account</w:t>
      </w:r>
      <w:r>
        <w:rPr>
          <w:rFonts w:ascii="Times New Roman" w:hAnsi="Times New Roman" w:cs="Times New Roman"/>
          <w:sz w:val="18"/>
          <w:szCs w:val="18"/>
        </w:rPr>
        <w:t xml:space="preserve"> Section 11D of the Financial Services Commission (Bailiwick of Guernsey) Law, 1987 which includes</w:t>
      </w:r>
      <w:r w:rsidRPr="007A42EB">
        <w:rPr>
          <w:rFonts w:ascii="Times New Roman" w:hAnsi="Times New Roman" w:cs="Times New Roman"/>
          <w:sz w:val="18"/>
          <w:szCs w:val="18"/>
        </w:rPr>
        <w:t xml:space="preserve"> the characteristics outlined in the </w:t>
      </w:r>
      <w:r>
        <w:rPr>
          <w:rFonts w:ascii="Times New Roman" w:hAnsi="Times New Roman" w:cs="Times New Roman"/>
          <w:sz w:val="18"/>
          <w:szCs w:val="18"/>
        </w:rPr>
        <w:t>schedule</w:t>
      </w:r>
      <w:r w:rsidRPr="007A42EB">
        <w:rPr>
          <w:rFonts w:ascii="Times New Roman" w:hAnsi="Times New Roman" w:cs="Times New Roman"/>
          <w:sz w:val="18"/>
          <w:szCs w:val="18"/>
        </w:rPr>
        <w:t xml:space="preserve"> as well as any other ag</w:t>
      </w:r>
      <w:r>
        <w:rPr>
          <w:rFonts w:ascii="Times New Roman" w:hAnsi="Times New Roman" w:cs="Times New Roman"/>
          <w:sz w:val="18"/>
          <w:szCs w:val="18"/>
        </w:rPr>
        <w:t>gravating or mitigating factors</w:t>
      </w:r>
      <w:r w:rsidRPr="007A42EB">
        <w:rPr>
          <w:rFonts w:ascii="Times New Roman" w:hAnsi="Times New Roman" w:cs="Times New Roman"/>
          <w:sz w:val="18"/>
          <w:szCs w:val="18"/>
        </w:rPr>
        <w:t xml:space="preserve"> such as the financial consequences to the firm/individual (taking into consideration the total emoluments an individual has received from a firm during the time they have been connected with them) and, most importantly, the reputational risk to the Bailiwick. Whether the proposed sanction</w:t>
      </w:r>
      <w:r>
        <w:rPr>
          <w:rFonts w:ascii="Times New Roman" w:hAnsi="Times New Roman" w:cs="Times New Roman"/>
          <w:sz w:val="18"/>
          <w:szCs w:val="18"/>
        </w:rPr>
        <w:t>(s)</w:t>
      </w:r>
      <w:r w:rsidRPr="007A42EB">
        <w:rPr>
          <w:rFonts w:ascii="Times New Roman" w:hAnsi="Times New Roman" w:cs="Times New Roman"/>
          <w:sz w:val="18"/>
          <w:szCs w:val="18"/>
        </w:rPr>
        <w:t xml:space="preserve"> will have the appropriate deterrent effect is also a consideration.</w:t>
      </w:r>
      <w:r>
        <w:rPr>
          <w:rFonts w:ascii="Times New Roman" w:hAnsi="Times New Roman" w:cs="Times New Roman"/>
          <w:sz w:val="18"/>
          <w:szCs w:val="18"/>
        </w:rPr>
        <w:t xml:space="preserve"> The</w:t>
      </w:r>
      <w:r w:rsidRPr="00365FD2">
        <w:rPr>
          <w:rFonts w:ascii="Times New Roman" w:hAnsi="Times New Roman" w:cs="Times New Roman"/>
          <w:sz w:val="18"/>
          <w:szCs w:val="18"/>
        </w:rPr>
        <w:t xml:space="preserve"> relevant </w:t>
      </w:r>
      <w:r>
        <w:rPr>
          <w:rFonts w:ascii="Times New Roman" w:hAnsi="Times New Roman" w:cs="Times New Roman"/>
          <w:sz w:val="18"/>
          <w:szCs w:val="18"/>
        </w:rPr>
        <w:t>per</w:t>
      </w:r>
      <w:r w:rsidRPr="001921A9">
        <w:rPr>
          <w:rFonts w:ascii="Times New Roman" w:hAnsi="Times New Roman" w:cs="Times New Roman"/>
          <w:sz w:val="18"/>
          <w:szCs w:val="18"/>
        </w:rPr>
        <w:t>s</w:t>
      </w:r>
      <w:r>
        <w:rPr>
          <w:rFonts w:ascii="Times New Roman" w:hAnsi="Times New Roman" w:cs="Times New Roman"/>
          <w:sz w:val="18"/>
          <w:szCs w:val="18"/>
        </w:rPr>
        <w:t>o</w:t>
      </w:r>
      <w:r w:rsidRPr="001921A9">
        <w:rPr>
          <w:rFonts w:ascii="Times New Roman" w:hAnsi="Times New Roman" w:cs="Times New Roman"/>
          <w:sz w:val="18"/>
          <w:szCs w:val="18"/>
        </w:rPr>
        <w:t>n</w:t>
      </w:r>
      <w:r w:rsidRPr="00365FD2">
        <w:rPr>
          <w:rFonts w:ascii="Times New Roman" w:hAnsi="Times New Roman" w:cs="Times New Roman"/>
          <w:sz w:val="18"/>
          <w:szCs w:val="18"/>
        </w:rPr>
        <w:t xml:space="preserve"> of a licensee will be assessed against the failings of the licensee and the role t</w:t>
      </w:r>
      <w:r>
        <w:rPr>
          <w:rFonts w:ascii="Times New Roman" w:hAnsi="Times New Roman" w:cs="Times New Roman"/>
          <w:sz w:val="18"/>
          <w:szCs w:val="18"/>
        </w:rPr>
        <w:t>hat they may have played in that</w:t>
      </w:r>
      <w:r w:rsidRPr="00365FD2">
        <w:rPr>
          <w:rFonts w:ascii="Times New Roman" w:hAnsi="Times New Roman" w:cs="Times New Roman"/>
          <w:sz w:val="18"/>
          <w:szCs w:val="18"/>
        </w:rPr>
        <w:t xml:space="preserve"> </w:t>
      </w:r>
      <w:r w:rsidRPr="001921A9">
        <w:rPr>
          <w:rFonts w:ascii="Times New Roman" w:hAnsi="Times New Roman" w:cs="Times New Roman"/>
          <w:sz w:val="18"/>
          <w:szCs w:val="18"/>
        </w:rPr>
        <w:t>process.  In essence</w:t>
      </w:r>
      <w:r>
        <w:rPr>
          <w:rFonts w:ascii="Times New Roman" w:hAnsi="Times New Roman" w:cs="Times New Roman"/>
          <w:sz w:val="18"/>
          <w:szCs w:val="18"/>
        </w:rPr>
        <w:t>,</w:t>
      </w:r>
      <w:r w:rsidRPr="001921A9">
        <w:rPr>
          <w:rFonts w:ascii="Times New Roman" w:hAnsi="Times New Roman" w:cs="Times New Roman"/>
          <w:sz w:val="18"/>
          <w:szCs w:val="18"/>
        </w:rPr>
        <w:t xml:space="preserve"> they will be assessed against the minimum criteria for licensing on whether they</w:t>
      </w:r>
      <w:r>
        <w:rPr>
          <w:rFonts w:ascii="Times New Roman" w:hAnsi="Times New Roman" w:cs="Times New Roman"/>
          <w:sz w:val="18"/>
          <w:szCs w:val="18"/>
        </w:rPr>
        <w:t>,</w:t>
      </w:r>
      <w:r w:rsidRPr="001921A9">
        <w:rPr>
          <w:rFonts w:ascii="Times New Roman" w:hAnsi="Times New Roman" w:cs="Times New Roman"/>
          <w:sz w:val="18"/>
          <w:szCs w:val="18"/>
        </w:rPr>
        <w:t xml:space="preserve"> as an individual</w:t>
      </w:r>
      <w:r>
        <w:rPr>
          <w:rFonts w:ascii="Times New Roman" w:hAnsi="Times New Roman" w:cs="Times New Roman"/>
          <w:sz w:val="18"/>
          <w:szCs w:val="18"/>
        </w:rPr>
        <w:t>,</w:t>
      </w:r>
      <w:r w:rsidRPr="001921A9">
        <w:rPr>
          <w:rFonts w:ascii="Times New Roman" w:hAnsi="Times New Roman" w:cs="Times New Roman"/>
          <w:sz w:val="18"/>
          <w:szCs w:val="18"/>
        </w:rPr>
        <w:t xml:space="preserve"> are fit and proper.  In doing so</w:t>
      </w:r>
      <w:r>
        <w:rPr>
          <w:rFonts w:ascii="Times New Roman" w:hAnsi="Times New Roman" w:cs="Times New Roman"/>
          <w:sz w:val="18"/>
          <w:szCs w:val="18"/>
        </w:rPr>
        <w:t>,</w:t>
      </w:r>
      <w:r w:rsidRPr="001921A9">
        <w:rPr>
          <w:rFonts w:ascii="Times New Roman" w:hAnsi="Times New Roman" w:cs="Times New Roman"/>
          <w:sz w:val="18"/>
          <w:szCs w:val="18"/>
        </w:rPr>
        <w:t xml:space="preserve"> consideration will</w:t>
      </w:r>
      <w:r>
        <w:rPr>
          <w:rFonts w:ascii="Times New Roman" w:hAnsi="Times New Roman" w:cs="Times New Roman"/>
          <w:sz w:val="18"/>
          <w:szCs w:val="18"/>
        </w:rPr>
        <w:t xml:space="preserve"> be</w:t>
      </w:r>
      <w:r w:rsidRPr="001921A9">
        <w:rPr>
          <w:rFonts w:ascii="Times New Roman" w:hAnsi="Times New Roman" w:cs="Times New Roman"/>
          <w:sz w:val="18"/>
          <w:szCs w:val="18"/>
        </w:rPr>
        <w:t xml:space="preserve"> given, amongst other things, to their probity, competence, experience, and soundness of judgement and the integrity and skill in which they carried out their duties.  Dependent </w:t>
      </w:r>
      <w:r>
        <w:rPr>
          <w:rFonts w:ascii="Times New Roman" w:hAnsi="Times New Roman" w:cs="Times New Roman"/>
          <w:sz w:val="18"/>
          <w:szCs w:val="18"/>
        </w:rPr>
        <w:t>up</w:t>
      </w:r>
      <w:r w:rsidRPr="001921A9">
        <w:rPr>
          <w:rFonts w:ascii="Times New Roman" w:hAnsi="Times New Roman" w:cs="Times New Roman"/>
          <w:sz w:val="18"/>
          <w:szCs w:val="18"/>
        </w:rPr>
        <w:t xml:space="preserve">on the severity of the findings made against the firm, consideration will then be given to who </w:t>
      </w:r>
      <w:r>
        <w:rPr>
          <w:rFonts w:ascii="Times New Roman" w:hAnsi="Times New Roman" w:cs="Times New Roman"/>
          <w:sz w:val="18"/>
          <w:szCs w:val="18"/>
        </w:rPr>
        <w:t>held the key responsibilities</w:t>
      </w:r>
      <w:r w:rsidRPr="001921A9">
        <w:rPr>
          <w:rFonts w:ascii="Times New Roman" w:hAnsi="Times New Roman" w:cs="Times New Roman"/>
          <w:sz w:val="18"/>
          <w:szCs w:val="18"/>
        </w:rPr>
        <w:t xml:space="preserve"> and should be accountable for the failings identified.</w:t>
      </w:r>
    </w:p>
    <w:sectPr w:rsidR="0005264A" w:rsidRPr="007A42EB" w:rsidSect="00E34696">
      <w:footerReference w:type="default" r:id="rId12"/>
      <w:pgSz w:w="16838" w:h="11906" w:orient="landscape"/>
      <w:pgMar w:top="284" w:right="1440" w:bottom="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56488" w14:textId="77777777" w:rsidR="00D561CF" w:rsidRDefault="00D561CF" w:rsidP="00FE5470">
      <w:pPr>
        <w:spacing w:after="0" w:line="240" w:lineRule="auto"/>
      </w:pPr>
      <w:r>
        <w:separator/>
      </w:r>
    </w:p>
  </w:endnote>
  <w:endnote w:type="continuationSeparator" w:id="0">
    <w:p w14:paraId="6FEAA788" w14:textId="77777777" w:rsidR="00D561CF" w:rsidRDefault="00D561CF" w:rsidP="00FE5470">
      <w:pPr>
        <w:spacing w:after="0" w:line="240" w:lineRule="auto"/>
      </w:pPr>
      <w:r>
        <w:continuationSeparator/>
      </w:r>
    </w:p>
  </w:endnote>
  <w:endnote w:type="continuationNotice" w:id="1">
    <w:p w14:paraId="1FBCB3CC" w14:textId="77777777" w:rsidR="00D561CF" w:rsidRDefault="00D56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8E285" w14:textId="77777777" w:rsidR="000207B3" w:rsidRDefault="000207B3">
    <w:pPr>
      <w:pStyle w:val="Footer"/>
    </w:pPr>
    <w:r>
      <w:rPr>
        <w:rFonts w:ascii="Times New Roman" w:hAnsi="Times New Roman" w:cs="Times New Roman"/>
        <w:color w:val="595959"/>
        <w:sz w:val="18"/>
        <w:szCs w:val="18"/>
      </w:rPr>
      <w:tab/>
    </w:r>
    <w:r>
      <w:rPr>
        <w:rFonts w:ascii="Times New Roman" w:hAnsi="Times New Roman" w:cs="Times New Roman"/>
        <w:color w:val="595959"/>
        <w:sz w:val="18"/>
        <w:szCs w:val="18"/>
      </w:rPr>
      <w:tab/>
    </w:r>
    <w:r w:rsidRPr="00FE5470">
      <w:rPr>
        <w:rFonts w:ascii="Times New Roman" w:hAnsi="Times New Roman" w:cs="Times New Roman"/>
        <w:color w:val="98002E"/>
        <w:sz w:val="18"/>
        <w:szCs w:val="18"/>
      </w:rPr>
      <w:fldChar w:fldCharType="begin"/>
    </w:r>
    <w:r w:rsidRPr="00FE5470">
      <w:rPr>
        <w:rFonts w:ascii="Times New Roman" w:hAnsi="Times New Roman" w:cs="Times New Roman"/>
        <w:color w:val="98002E"/>
        <w:sz w:val="18"/>
        <w:szCs w:val="18"/>
      </w:rPr>
      <w:instrText xml:space="preserve"> PAGE   \* MERGEFORMAT </w:instrText>
    </w:r>
    <w:r w:rsidRPr="00FE5470">
      <w:rPr>
        <w:rFonts w:ascii="Times New Roman" w:hAnsi="Times New Roman" w:cs="Times New Roman"/>
        <w:color w:val="98002E"/>
        <w:sz w:val="18"/>
        <w:szCs w:val="18"/>
      </w:rPr>
      <w:fldChar w:fldCharType="separate"/>
    </w:r>
    <w:r w:rsidR="00E34696">
      <w:rPr>
        <w:rFonts w:ascii="Times New Roman" w:hAnsi="Times New Roman" w:cs="Times New Roman"/>
        <w:noProof/>
        <w:color w:val="98002E"/>
        <w:sz w:val="18"/>
        <w:szCs w:val="18"/>
      </w:rPr>
      <w:t>2</w:t>
    </w:r>
    <w:r w:rsidRPr="00FE5470">
      <w:rPr>
        <w:rFonts w:ascii="Times New Roman" w:hAnsi="Times New Roman" w:cs="Times New Roman"/>
        <w:noProof/>
        <w:color w:val="98002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15913" w14:textId="77777777" w:rsidR="00D561CF" w:rsidRDefault="00D561CF" w:rsidP="00FE5470">
      <w:pPr>
        <w:spacing w:after="0" w:line="240" w:lineRule="auto"/>
      </w:pPr>
      <w:r>
        <w:separator/>
      </w:r>
    </w:p>
  </w:footnote>
  <w:footnote w:type="continuationSeparator" w:id="0">
    <w:p w14:paraId="1BE3DF11" w14:textId="77777777" w:rsidR="00D561CF" w:rsidRDefault="00D561CF" w:rsidP="00FE5470">
      <w:pPr>
        <w:spacing w:after="0" w:line="240" w:lineRule="auto"/>
      </w:pPr>
      <w:r>
        <w:continuationSeparator/>
      </w:r>
    </w:p>
  </w:footnote>
  <w:footnote w:type="continuationNotice" w:id="1">
    <w:p w14:paraId="36ADA5CC" w14:textId="77777777" w:rsidR="00D561CF" w:rsidRDefault="00D561C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3A7B"/>
    <w:multiLevelType w:val="hybridMultilevel"/>
    <w:tmpl w:val="682E0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3118B7"/>
    <w:multiLevelType w:val="hybridMultilevel"/>
    <w:tmpl w:val="E98ADCF6"/>
    <w:lvl w:ilvl="0" w:tplc="5E568B14">
      <w:start w:val="1"/>
      <w:numFmt w:val="bullet"/>
      <w:pStyle w:val="BulletedLis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4139E5"/>
    <w:multiLevelType w:val="hybridMultilevel"/>
    <w:tmpl w:val="2EF6E0B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15:restartNumberingAfterBreak="0">
    <w:nsid w:val="1A35155F"/>
    <w:multiLevelType w:val="hybridMultilevel"/>
    <w:tmpl w:val="72547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A5BBE"/>
    <w:multiLevelType w:val="hybridMultilevel"/>
    <w:tmpl w:val="859A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305CF"/>
    <w:multiLevelType w:val="hybridMultilevel"/>
    <w:tmpl w:val="3632753A"/>
    <w:lvl w:ilvl="0" w:tplc="F9E4625A">
      <w:start w:val="1"/>
      <w:numFmt w:val="decimal"/>
      <w:pStyle w:val="NUMBERPARA"/>
      <w:lvlText w:val="%1."/>
      <w:lvlJc w:val="left"/>
      <w:pPr>
        <w:ind w:left="786" w:hanging="360"/>
      </w:pPr>
      <w:rPr>
        <w:rFonts w:hint="default"/>
        <w:b w:val="0"/>
        <w:bCs w:val="0"/>
        <w:i w:val="0"/>
        <w:iCs w:val="0"/>
        <w:smallCaps w:val="0"/>
        <w:strike w:val="0"/>
        <w:dstrike w:val="0"/>
        <w:noProof w:val="0"/>
        <w:vanish w:val="0"/>
        <w:color w:val="000000"/>
        <w:kern w:val="0"/>
        <w:position w:val="0"/>
        <w:u w:val="none"/>
        <w:vertAlign w:val="baseline"/>
        <w:em w:val="none"/>
      </w:rPr>
    </w:lvl>
    <w:lvl w:ilvl="1" w:tplc="EE2806F8">
      <w:start w:val="1"/>
      <w:numFmt w:val="decimal"/>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ABE779E"/>
    <w:multiLevelType w:val="hybridMultilevel"/>
    <w:tmpl w:val="935E1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463D69"/>
    <w:multiLevelType w:val="hybridMultilevel"/>
    <w:tmpl w:val="3924A5A6"/>
    <w:lvl w:ilvl="0" w:tplc="591294D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EF4A52"/>
    <w:multiLevelType w:val="hybridMultilevel"/>
    <w:tmpl w:val="8550B586"/>
    <w:lvl w:ilvl="0" w:tplc="9EA4863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37F4C"/>
    <w:multiLevelType w:val="hybridMultilevel"/>
    <w:tmpl w:val="CDDCF15C"/>
    <w:lvl w:ilvl="0" w:tplc="1FAED6D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A25D7"/>
    <w:multiLevelType w:val="hybridMultilevel"/>
    <w:tmpl w:val="CBCA8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301967"/>
    <w:multiLevelType w:val="hybridMultilevel"/>
    <w:tmpl w:val="5D90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040D4"/>
    <w:multiLevelType w:val="hybridMultilevel"/>
    <w:tmpl w:val="AA88A8AC"/>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3" w15:restartNumberingAfterBreak="0">
    <w:nsid w:val="505F02CF"/>
    <w:multiLevelType w:val="hybridMultilevel"/>
    <w:tmpl w:val="4B06A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A90212"/>
    <w:multiLevelType w:val="hybridMultilevel"/>
    <w:tmpl w:val="1BD2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A2EFA"/>
    <w:multiLevelType w:val="hybridMultilevel"/>
    <w:tmpl w:val="FDA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E59E2"/>
    <w:multiLevelType w:val="hybridMultilevel"/>
    <w:tmpl w:val="DEF859C8"/>
    <w:lvl w:ilvl="0" w:tplc="21DEA8D8">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59379F2"/>
    <w:multiLevelType w:val="hybridMultilevel"/>
    <w:tmpl w:val="1A4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344DE"/>
    <w:multiLevelType w:val="hybridMultilevel"/>
    <w:tmpl w:val="B47ECA0E"/>
    <w:lvl w:ilvl="0" w:tplc="73282A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860B7D"/>
    <w:multiLevelType w:val="hybridMultilevel"/>
    <w:tmpl w:val="C6C8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16759"/>
    <w:multiLevelType w:val="hybridMultilevel"/>
    <w:tmpl w:val="5DCEFE5C"/>
    <w:lvl w:ilvl="0" w:tplc="BDC60030">
      <w:start w:val="1"/>
      <w:numFmt w:val="decimal"/>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67170B"/>
    <w:multiLevelType w:val="hybridMultilevel"/>
    <w:tmpl w:val="8FB49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7"/>
  </w:num>
  <w:num w:numId="4">
    <w:abstractNumId w:val="20"/>
  </w:num>
  <w:num w:numId="5">
    <w:abstractNumId w:val="0"/>
  </w:num>
  <w:num w:numId="6">
    <w:abstractNumId w:val="8"/>
  </w:num>
  <w:num w:numId="7">
    <w:abstractNumId w:val="16"/>
  </w:num>
  <w:num w:numId="8">
    <w:abstractNumId w:val="19"/>
  </w:num>
  <w:num w:numId="9">
    <w:abstractNumId w:val="9"/>
  </w:num>
  <w:num w:numId="10">
    <w:abstractNumId w:val="4"/>
  </w:num>
  <w:num w:numId="11">
    <w:abstractNumId w:val="14"/>
  </w:num>
  <w:num w:numId="12">
    <w:abstractNumId w:val="10"/>
  </w:num>
  <w:num w:numId="13">
    <w:abstractNumId w:val="18"/>
  </w:num>
  <w:num w:numId="14">
    <w:abstractNumId w:val="3"/>
  </w:num>
  <w:num w:numId="15">
    <w:abstractNumId w:val="6"/>
  </w:num>
  <w:num w:numId="16">
    <w:abstractNumId w:val="1"/>
  </w:num>
  <w:num w:numId="17">
    <w:abstractNumId w:val="5"/>
  </w:num>
  <w:num w:numId="18">
    <w:abstractNumId w:val="11"/>
  </w:num>
  <w:num w:numId="19">
    <w:abstractNumId w:val="21"/>
  </w:num>
  <w:num w:numId="20">
    <w:abstractNumId w:val="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61"/>
    <w:rsid w:val="00017EC9"/>
    <w:rsid w:val="000207B3"/>
    <w:rsid w:val="00027A43"/>
    <w:rsid w:val="00037960"/>
    <w:rsid w:val="0004048C"/>
    <w:rsid w:val="000440F4"/>
    <w:rsid w:val="00046C63"/>
    <w:rsid w:val="00047529"/>
    <w:rsid w:val="00050830"/>
    <w:rsid w:val="0005098D"/>
    <w:rsid w:val="0005264A"/>
    <w:rsid w:val="000544F9"/>
    <w:rsid w:val="00055171"/>
    <w:rsid w:val="00063FDE"/>
    <w:rsid w:val="00065A9A"/>
    <w:rsid w:val="00072751"/>
    <w:rsid w:val="00072FC9"/>
    <w:rsid w:val="0007368A"/>
    <w:rsid w:val="00081370"/>
    <w:rsid w:val="00086FFD"/>
    <w:rsid w:val="00091AF8"/>
    <w:rsid w:val="000974C0"/>
    <w:rsid w:val="000A0383"/>
    <w:rsid w:val="000A249D"/>
    <w:rsid w:val="000A3235"/>
    <w:rsid w:val="000A7E04"/>
    <w:rsid w:val="000A7F3F"/>
    <w:rsid w:val="000C21CB"/>
    <w:rsid w:val="000C60DA"/>
    <w:rsid w:val="000D5DC6"/>
    <w:rsid w:val="000E0B6D"/>
    <w:rsid w:val="000F5356"/>
    <w:rsid w:val="000F739A"/>
    <w:rsid w:val="001032F1"/>
    <w:rsid w:val="001075CD"/>
    <w:rsid w:val="0010795B"/>
    <w:rsid w:val="00110C62"/>
    <w:rsid w:val="001352F7"/>
    <w:rsid w:val="001451C5"/>
    <w:rsid w:val="0014638E"/>
    <w:rsid w:val="00147082"/>
    <w:rsid w:val="0015232F"/>
    <w:rsid w:val="00152F05"/>
    <w:rsid w:val="00156B15"/>
    <w:rsid w:val="001578F8"/>
    <w:rsid w:val="0016021A"/>
    <w:rsid w:val="00160BBB"/>
    <w:rsid w:val="00160C87"/>
    <w:rsid w:val="001756F4"/>
    <w:rsid w:val="00180349"/>
    <w:rsid w:val="00191E94"/>
    <w:rsid w:val="0019449B"/>
    <w:rsid w:val="00194E5E"/>
    <w:rsid w:val="00197026"/>
    <w:rsid w:val="001A2876"/>
    <w:rsid w:val="001A2E8F"/>
    <w:rsid w:val="001A3B53"/>
    <w:rsid w:val="001A421E"/>
    <w:rsid w:val="001B1AA3"/>
    <w:rsid w:val="001C1D77"/>
    <w:rsid w:val="001C57D5"/>
    <w:rsid w:val="001D513A"/>
    <w:rsid w:val="001E6594"/>
    <w:rsid w:val="001F3010"/>
    <w:rsid w:val="001F4ACF"/>
    <w:rsid w:val="0020064B"/>
    <w:rsid w:val="0020702A"/>
    <w:rsid w:val="00211FFE"/>
    <w:rsid w:val="0021293B"/>
    <w:rsid w:val="00213B0A"/>
    <w:rsid w:val="0021621E"/>
    <w:rsid w:val="002162AD"/>
    <w:rsid w:val="00224DE6"/>
    <w:rsid w:val="00227971"/>
    <w:rsid w:val="00230AA0"/>
    <w:rsid w:val="002322E4"/>
    <w:rsid w:val="0023273F"/>
    <w:rsid w:val="002418FF"/>
    <w:rsid w:val="0024440F"/>
    <w:rsid w:val="00250E02"/>
    <w:rsid w:val="002843D3"/>
    <w:rsid w:val="00284E54"/>
    <w:rsid w:val="00287280"/>
    <w:rsid w:val="00290E73"/>
    <w:rsid w:val="00292448"/>
    <w:rsid w:val="00292514"/>
    <w:rsid w:val="0029257F"/>
    <w:rsid w:val="0029357B"/>
    <w:rsid w:val="002966C9"/>
    <w:rsid w:val="00297441"/>
    <w:rsid w:val="002A0F40"/>
    <w:rsid w:val="002A5930"/>
    <w:rsid w:val="002A6AB0"/>
    <w:rsid w:val="002B5504"/>
    <w:rsid w:val="002B5DAD"/>
    <w:rsid w:val="002B6F8F"/>
    <w:rsid w:val="002C7818"/>
    <w:rsid w:val="002E09FE"/>
    <w:rsid w:val="002E27BB"/>
    <w:rsid w:val="002F1268"/>
    <w:rsid w:val="002F7C3B"/>
    <w:rsid w:val="00301C6F"/>
    <w:rsid w:val="00312307"/>
    <w:rsid w:val="003131A2"/>
    <w:rsid w:val="003158BB"/>
    <w:rsid w:val="00316BCD"/>
    <w:rsid w:val="00321243"/>
    <w:rsid w:val="00322E1C"/>
    <w:rsid w:val="00324B27"/>
    <w:rsid w:val="0032558E"/>
    <w:rsid w:val="00330AF1"/>
    <w:rsid w:val="00333CDD"/>
    <w:rsid w:val="00335EF9"/>
    <w:rsid w:val="00337EF0"/>
    <w:rsid w:val="00344F74"/>
    <w:rsid w:val="00346B28"/>
    <w:rsid w:val="00354431"/>
    <w:rsid w:val="00361A72"/>
    <w:rsid w:val="003764D3"/>
    <w:rsid w:val="003910D9"/>
    <w:rsid w:val="003951D3"/>
    <w:rsid w:val="00397235"/>
    <w:rsid w:val="003A7E76"/>
    <w:rsid w:val="003B2171"/>
    <w:rsid w:val="003B27DB"/>
    <w:rsid w:val="003B626C"/>
    <w:rsid w:val="003C5559"/>
    <w:rsid w:val="003E00FC"/>
    <w:rsid w:val="003E4CD2"/>
    <w:rsid w:val="003E645F"/>
    <w:rsid w:val="003F35EE"/>
    <w:rsid w:val="0040012D"/>
    <w:rsid w:val="00402EC0"/>
    <w:rsid w:val="00406C30"/>
    <w:rsid w:val="0041020C"/>
    <w:rsid w:val="004267EC"/>
    <w:rsid w:val="00427A91"/>
    <w:rsid w:val="004461A2"/>
    <w:rsid w:val="00461035"/>
    <w:rsid w:val="004610A6"/>
    <w:rsid w:val="00462D2F"/>
    <w:rsid w:val="004644A6"/>
    <w:rsid w:val="00472911"/>
    <w:rsid w:val="00473BCF"/>
    <w:rsid w:val="00476AC5"/>
    <w:rsid w:val="00496C77"/>
    <w:rsid w:val="004A071E"/>
    <w:rsid w:val="004A27BA"/>
    <w:rsid w:val="004A604B"/>
    <w:rsid w:val="004B36E7"/>
    <w:rsid w:val="004C02BB"/>
    <w:rsid w:val="004C6CED"/>
    <w:rsid w:val="004D6420"/>
    <w:rsid w:val="004E47A8"/>
    <w:rsid w:val="004F1E6B"/>
    <w:rsid w:val="004F3611"/>
    <w:rsid w:val="004F5DC5"/>
    <w:rsid w:val="005037C1"/>
    <w:rsid w:val="00510F94"/>
    <w:rsid w:val="00511F21"/>
    <w:rsid w:val="00513803"/>
    <w:rsid w:val="00515DD6"/>
    <w:rsid w:val="00517461"/>
    <w:rsid w:val="00517D86"/>
    <w:rsid w:val="0052687B"/>
    <w:rsid w:val="0053511C"/>
    <w:rsid w:val="00536A4C"/>
    <w:rsid w:val="00537DEA"/>
    <w:rsid w:val="00540775"/>
    <w:rsid w:val="00541E64"/>
    <w:rsid w:val="005437C6"/>
    <w:rsid w:val="00543F3B"/>
    <w:rsid w:val="005440DE"/>
    <w:rsid w:val="00545EA9"/>
    <w:rsid w:val="0055037A"/>
    <w:rsid w:val="00556A4F"/>
    <w:rsid w:val="005575A8"/>
    <w:rsid w:val="005609D7"/>
    <w:rsid w:val="0056308D"/>
    <w:rsid w:val="0056429F"/>
    <w:rsid w:val="00570C76"/>
    <w:rsid w:val="0057168E"/>
    <w:rsid w:val="00573E5E"/>
    <w:rsid w:val="00577E95"/>
    <w:rsid w:val="0058320E"/>
    <w:rsid w:val="005A105F"/>
    <w:rsid w:val="005A4290"/>
    <w:rsid w:val="005A61AC"/>
    <w:rsid w:val="005B5E1D"/>
    <w:rsid w:val="005B63B6"/>
    <w:rsid w:val="005D71B4"/>
    <w:rsid w:val="005E143B"/>
    <w:rsid w:val="005E2B83"/>
    <w:rsid w:val="005E2C43"/>
    <w:rsid w:val="005E6915"/>
    <w:rsid w:val="00602B1C"/>
    <w:rsid w:val="00605418"/>
    <w:rsid w:val="00607BCD"/>
    <w:rsid w:val="00612CD0"/>
    <w:rsid w:val="00616801"/>
    <w:rsid w:val="00617144"/>
    <w:rsid w:val="00624483"/>
    <w:rsid w:val="006273AE"/>
    <w:rsid w:val="00630B53"/>
    <w:rsid w:val="006323A5"/>
    <w:rsid w:val="006327FB"/>
    <w:rsid w:val="00633E17"/>
    <w:rsid w:val="0063772D"/>
    <w:rsid w:val="00640A9F"/>
    <w:rsid w:val="00642F0F"/>
    <w:rsid w:val="00643CE4"/>
    <w:rsid w:val="00643DF0"/>
    <w:rsid w:val="00644ABD"/>
    <w:rsid w:val="006643CA"/>
    <w:rsid w:val="00666797"/>
    <w:rsid w:val="00673540"/>
    <w:rsid w:val="0067655C"/>
    <w:rsid w:val="0067737B"/>
    <w:rsid w:val="006804F6"/>
    <w:rsid w:val="00686DF9"/>
    <w:rsid w:val="00691318"/>
    <w:rsid w:val="006A01E9"/>
    <w:rsid w:val="006A21B7"/>
    <w:rsid w:val="006A6A99"/>
    <w:rsid w:val="006B5A87"/>
    <w:rsid w:val="006B71C3"/>
    <w:rsid w:val="006C15F3"/>
    <w:rsid w:val="006C1726"/>
    <w:rsid w:val="006C6EEA"/>
    <w:rsid w:val="006C754E"/>
    <w:rsid w:val="006D143B"/>
    <w:rsid w:val="006E67BB"/>
    <w:rsid w:val="006F03EE"/>
    <w:rsid w:val="006F765D"/>
    <w:rsid w:val="007014CA"/>
    <w:rsid w:val="00703783"/>
    <w:rsid w:val="00711088"/>
    <w:rsid w:val="00714C7E"/>
    <w:rsid w:val="007161CF"/>
    <w:rsid w:val="0071648C"/>
    <w:rsid w:val="00724332"/>
    <w:rsid w:val="0072646A"/>
    <w:rsid w:val="00734979"/>
    <w:rsid w:val="00740131"/>
    <w:rsid w:val="00742AB3"/>
    <w:rsid w:val="007473DB"/>
    <w:rsid w:val="007572EE"/>
    <w:rsid w:val="007676D5"/>
    <w:rsid w:val="0077266D"/>
    <w:rsid w:val="00781561"/>
    <w:rsid w:val="00786F9E"/>
    <w:rsid w:val="00791AC0"/>
    <w:rsid w:val="007A0508"/>
    <w:rsid w:val="007A2414"/>
    <w:rsid w:val="007A42EB"/>
    <w:rsid w:val="007A4842"/>
    <w:rsid w:val="007B05B9"/>
    <w:rsid w:val="007B15AE"/>
    <w:rsid w:val="007B39AB"/>
    <w:rsid w:val="007C5663"/>
    <w:rsid w:val="007D1A11"/>
    <w:rsid w:val="007D2288"/>
    <w:rsid w:val="007D7D60"/>
    <w:rsid w:val="007E3DEC"/>
    <w:rsid w:val="007F0300"/>
    <w:rsid w:val="007F0AF4"/>
    <w:rsid w:val="007F25C9"/>
    <w:rsid w:val="007F261D"/>
    <w:rsid w:val="008036CE"/>
    <w:rsid w:val="00804E83"/>
    <w:rsid w:val="0080582C"/>
    <w:rsid w:val="00805DFA"/>
    <w:rsid w:val="008124E0"/>
    <w:rsid w:val="0081639F"/>
    <w:rsid w:val="00820AE4"/>
    <w:rsid w:val="0082113E"/>
    <w:rsid w:val="00822F37"/>
    <w:rsid w:val="00823A3B"/>
    <w:rsid w:val="00825B9C"/>
    <w:rsid w:val="00830503"/>
    <w:rsid w:val="0083130B"/>
    <w:rsid w:val="00834FA4"/>
    <w:rsid w:val="00843075"/>
    <w:rsid w:val="0084308A"/>
    <w:rsid w:val="008574FB"/>
    <w:rsid w:val="00860A8C"/>
    <w:rsid w:val="008622D4"/>
    <w:rsid w:val="00865BD5"/>
    <w:rsid w:val="00865EAB"/>
    <w:rsid w:val="00873C48"/>
    <w:rsid w:val="00883471"/>
    <w:rsid w:val="0088628D"/>
    <w:rsid w:val="00886DC9"/>
    <w:rsid w:val="00891DA5"/>
    <w:rsid w:val="008929C8"/>
    <w:rsid w:val="00895755"/>
    <w:rsid w:val="008964AB"/>
    <w:rsid w:val="008977E9"/>
    <w:rsid w:val="008A3322"/>
    <w:rsid w:val="008A4A8B"/>
    <w:rsid w:val="008B15CA"/>
    <w:rsid w:val="008B395E"/>
    <w:rsid w:val="008B534D"/>
    <w:rsid w:val="008B69BE"/>
    <w:rsid w:val="008C0FDA"/>
    <w:rsid w:val="008C1168"/>
    <w:rsid w:val="008C2C38"/>
    <w:rsid w:val="008C4D1E"/>
    <w:rsid w:val="008C5DD1"/>
    <w:rsid w:val="008D333D"/>
    <w:rsid w:val="008D6914"/>
    <w:rsid w:val="008D6F2D"/>
    <w:rsid w:val="008E4AF4"/>
    <w:rsid w:val="008E6022"/>
    <w:rsid w:val="008E64FD"/>
    <w:rsid w:val="008F1900"/>
    <w:rsid w:val="008F317D"/>
    <w:rsid w:val="008F5A71"/>
    <w:rsid w:val="008F78CD"/>
    <w:rsid w:val="0090476C"/>
    <w:rsid w:val="00904854"/>
    <w:rsid w:val="00905CA5"/>
    <w:rsid w:val="00912A29"/>
    <w:rsid w:val="009201DD"/>
    <w:rsid w:val="00925859"/>
    <w:rsid w:val="009322EC"/>
    <w:rsid w:val="00933818"/>
    <w:rsid w:val="00942D59"/>
    <w:rsid w:val="00943781"/>
    <w:rsid w:val="00945BE2"/>
    <w:rsid w:val="00952463"/>
    <w:rsid w:val="00952C00"/>
    <w:rsid w:val="009578CA"/>
    <w:rsid w:val="009656FF"/>
    <w:rsid w:val="009731EB"/>
    <w:rsid w:val="00976214"/>
    <w:rsid w:val="0098025A"/>
    <w:rsid w:val="00981B32"/>
    <w:rsid w:val="009820B0"/>
    <w:rsid w:val="009976A3"/>
    <w:rsid w:val="009A1860"/>
    <w:rsid w:val="009A2FDC"/>
    <w:rsid w:val="009B20E9"/>
    <w:rsid w:val="009B3941"/>
    <w:rsid w:val="009D6CC9"/>
    <w:rsid w:val="009D7474"/>
    <w:rsid w:val="009E2A58"/>
    <w:rsid w:val="009E4F57"/>
    <w:rsid w:val="009E6B69"/>
    <w:rsid w:val="009F2294"/>
    <w:rsid w:val="009F3BFC"/>
    <w:rsid w:val="00A141D4"/>
    <w:rsid w:val="00A170E7"/>
    <w:rsid w:val="00A231E9"/>
    <w:rsid w:val="00A23214"/>
    <w:rsid w:val="00A30EA7"/>
    <w:rsid w:val="00A324FE"/>
    <w:rsid w:val="00A349B1"/>
    <w:rsid w:val="00A36C41"/>
    <w:rsid w:val="00A40DD3"/>
    <w:rsid w:val="00A42A7D"/>
    <w:rsid w:val="00A4347B"/>
    <w:rsid w:val="00A45F66"/>
    <w:rsid w:val="00A52ECB"/>
    <w:rsid w:val="00A60262"/>
    <w:rsid w:val="00A63D98"/>
    <w:rsid w:val="00A63F79"/>
    <w:rsid w:val="00A762CC"/>
    <w:rsid w:val="00A7782D"/>
    <w:rsid w:val="00A81992"/>
    <w:rsid w:val="00A8462C"/>
    <w:rsid w:val="00A91193"/>
    <w:rsid w:val="00A95E7F"/>
    <w:rsid w:val="00AA118B"/>
    <w:rsid w:val="00AA393E"/>
    <w:rsid w:val="00AA7979"/>
    <w:rsid w:val="00AB5559"/>
    <w:rsid w:val="00AC3AC4"/>
    <w:rsid w:val="00AC3FF8"/>
    <w:rsid w:val="00AD071E"/>
    <w:rsid w:val="00AE1AB4"/>
    <w:rsid w:val="00AE2643"/>
    <w:rsid w:val="00AE3B51"/>
    <w:rsid w:val="00AE3F97"/>
    <w:rsid w:val="00B0775B"/>
    <w:rsid w:val="00B0775C"/>
    <w:rsid w:val="00B116D4"/>
    <w:rsid w:val="00B11F59"/>
    <w:rsid w:val="00B13A62"/>
    <w:rsid w:val="00B15443"/>
    <w:rsid w:val="00B1579F"/>
    <w:rsid w:val="00B16B49"/>
    <w:rsid w:val="00B17FEE"/>
    <w:rsid w:val="00B22AA2"/>
    <w:rsid w:val="00B25291"/>
    <w:rsid w:val="00B60C1D"/>
    <w:rsid w:val="00B634A2"/>
    <w:rsid w:val="00B726E7"/>
    <w:rsid w:val="00B74849"/>
    <w:rsid w:val="00B765C9"/>
    <w:rsid w:val="00B81271"/>
    <w:rsid w:val="00B84A5D"/>
    <w:rsid w:val="00B84CBC"/>
    <w:rsid w:val="00B87E01"/>
    <w:rsid w:val="00B94520"/>
    <w:rsid w:val="00BA5CCB"/>
    <w:rsid w:val="00BA6412"/>
    <w:rsid w:val="00BB2868"/>
    <w:rsid w:val="00BB439E"/>
    <w:rsid w:val="00BB63D7"/>
    <w:rsid w:val="00BB6E1B"/>
    <w:rsid w:val="00BC3FD4"/>
    <w:rsid w:val="00BC5029"/>
    <w:rsid w:val="00BD551F"/>
    <w:rsid w:val="00BE1B8E"/>
    <w:rsid w:val="00BE60D4"/>
    <w:rsid w:val="00BF201D"/>
    <w:rsid w:val="00BF34CA"/>
    <w:rsid w:val="00BF5877"/>
    <w:rsid w:val="00BF69A3"/>
    <w:rsid w:val="00BF73CF"/>
    <w:rsid w:val="00BF73E4"/>
    <w:rsid w:val="00C029A9"/>
    <w:rsid w:val="00C034CC"/>
    <w:rsid w:val="00C03890"/>
    <w:rsid w:val="00C045C4"/>
    <w:rsid w:val="00C05EDD"/>
    <w:rsid w:val="00C06957"/>
    <w:rsid w:val="00C10BBE"/>
    <w:rsid w:val="00C12FE3"/>
    <w:rsid w:val="00C25A64"/>
    <w:rsid w:val="00C27E9E"/>
    <w:rsid w:val="00C337BE"/>
    <w:rsid w:val="00C3506E"/>
    <w:rsid w:val="00C4032E"/>
    <w:rsid w:val="00C44DE5"/>
    <w:rsid w:val="00C44E4A"/>
    <w:rsid w:val="00C61C5A"/>
    <w:rsid w:val="00C703E5"/>
    <w:rsid w:val="00C7076A"/>
    <w:rsid w:val="00C70CE4"/>
    <w:rsid w:val="00C83867"/>
    <w:rsid w:val="00C84FEC"/>
    <w:rsid w:val="00C8507B"/>
    <w:rsid w:val="00C96A7B"/>
    <w:rsid w:val="00C9708D"/>
    <w:rsid w:val="00CA18EB"/>
    <w:rsid w:val="00CA7A74"/>
    <w:rsid w:val="00CB234E"/>
    <w:rsid w:val="00CC3CBD"/>
    <w:rsid w:val="00CC5116"/>
    <w:rsid w:val="00CC5E3E"/>
    <w:rsid w:val="00CC672F"/>
    <w:rsid w:val="00CD155D"/>
    <w:rsid w:val="00CD5C0A"/>
    <w:rsid w:val="00CE5FCE"/>
    <w:rsid w:val="00CF022E"/>
    <w:rsid w:val="00CF062E"/>
    <w:rsid w:val="00D03A0F"/>
    <w:rsid w:val="00D12A9E"/>
    <w:rsid w:val="00D13764"/>
    <w:rsid w:val="00D16CC0"/>
    <w:rsid w:val="00D20A0E"/>
    <w:rsid w:val="00D2721B"/>
    <w:rsid w:val="00D2754B"/>
    <w:rsid w:val="00D32B91"/>
    <w:rsid w:val="00D41E94"/>
    <w:rsid w:val="00D4497D"/>
    <w:rsid w:val="00D45282"/>
    <w:rsid w:val="00D46572"/>
    <w:rsid w:val="00D526B3"/>
    <w:rsid w:val="00D55832"/>
    <w:rsid w:val="00D561CF"/>
    <w:rsid w:val="00D622C5"/>
    <w:rsid w:val="00D748A6"/>
    <w:rsid w:val="00D807B1"/>
    <w:rsid w:val="00D8328B"/>
    <w:rsid w:val="00D8382E"/>
    <w:rsid w:val="00D94400"/>
    <w:rsid w:val="00D94FC0"/>
    <w:rsid w:val="00D957B4"/>
    <w:rsid w:val="00DA39B8"/>
    <w:rsid w:val="00DC016C"/>
    <w:rsid w:val="00DC2164"/>
    <w:rsid w:val="00DD4083"/>
    <w:rsid w:val="00DD7B99"/>
    <w:rsid w:val="00DE33DA"/>
    <w:rsid w:val="00DE51F9"/>
    <w:rsid w:val="00DE5D90"/>
    <w:rsid w:val="00DE71DB"/>
    <w:rsid w:val="00DF0151"/>
    <w:rsid w:val="00E00F36"/>
    <w:rsid w:val="00E04F3C"/>
    <w:rsid w:val="00E07F08"/>
    <w:rsid w:val="00E12FA5"/>
    <w:rsid w:val="00E1650A"/>
    <w:rsid w:val="00E2480E"/>
    <w:rsid w:val="00E25180"/>
    <w:rsid w:val="00E254EC"/>
    <w:rsid w:val="00E30B1A"/>
    <w:rsid w:val="00E34696"/>
    <w:rsid w:val="00E34B03"/>
    <w:rsid w:val="00E37143"/>
    <w:rsid w:val="00E37252"/>
    <w:rsid w:val="00E37D39"/>
    <w:rsid w:val="00E43E2D"/>
    <w:rsid w:val="00E47202"/>
    <w:rsid w:val="00E55E8E"/>
    <w:rsid w:val="00E56AB6"/>
    <w:rsid w:val="00E62852"/>
    <w:rsid w:val="00E73380"/>
    <w:rsid w:val="00E818ED"/>
    <w:rsid w:val="00E84353"/>
    <w:rsid w:val="00EA085F"/>
    <w:rsid w:val="00EA3507"/>
    <w:rsid w:val="00EB65FE"/>
    <w:rsid w:val="00EC4F28"/>
    <w:rsid w:val="00EC5BC4"/>
    <w:rsid w:val="00ED174D"/>
    <w:rsid w:val="00ED26FC"/>
    <w:rsid w:val="00EF4005"/>
    <w:rsid w:val="00EF5774"/>
    <w:rsid w:val="00EF6510"/>
    <w:rsid w:val="00F00E91"/>
    <w:rsid w:val="00F1205E"/>
    <w:rsid w:val="00F12944"/>
    <w:rsid w:val="00F12AFA"/>
    <w:rsid w:val="00F177FC"/>
    <w:rsid w:val="00F23267"/>
    <w:rsid w:val="00F31E36"/>
    <w:rsid w:val="00F42670"/>
    <w:rsid w:val="00F434C3"/>
    <w:rsid w:val="00F54499"/>
    <w:rsid w:val="00F54F8A"/>
    <w:rsid w:val="00F6469A"/>
    <w:rsid w:val="00F650F7"/>
    <w:rsid w:val="00F65436"/>
    <w:rsid w:val="00F70A88"/>
    <w:rsid w:val="00F71D39"/>
    <w:rsid w:val="00F74F98"/>
    <w:rsid w:val="00F77438"/>
    <w:rsid w:val="00F84752"/>
    <w:rsid w:val="00F90CB0"/>
    <w:rsid w:val="00FA533A"/>
    <w:rsid w:val="00FA69CE"/>
    <w:rsid w:val="00FB022F"/>
    <w:rsid w:val="00FB6501"/>
    <w:rsid w:val="00FB7001"/>
    <w:rsid w:val="00FC377A"/>
    <w:rsid w:val="00FC4AE5"/>
    <w:rsid w:val="00FC5D14"/>
    <w:rsid w:val="00FE5470"/>
    <w:rsid w:val="00FE6A1E"/>
    <w:rsid w:val="00FF0A9C"/>
    <w:rsid w:val="00FF28A0"/>
    <w:rsid w:val="00FF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AAD8D8"/>
  <w15:docId w15:val="{1374CDE5-C6F7-482D-991B-B03EB842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7A8"/>
  </w:style>
  <w:style w:type="paragraph" w:styleId="Heading1">
    <w:name w:val="heading 1"/>
    <w:basedOn w:val="Normal"/>
    <w:next w:val="Normal"/>
    <w:link w:val="Heading1Char"/>
    <w:uiPriority w:val="9"/>
    <w:qFormat/>
    <w:rsid w:val="00AA393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393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A87"/>
    <w:rPr>
      <w:rFonts w:ascii="Tahoma" w:hAnsi="Tahoma" w:cs="Tahoma"/>
      <w:sz w:val="16"/>
      <w:szCs w:val="16"/>
    </w:rPr>
  </w:style>
  <w:style w:type="paragraph" w:styleId="ListParagraph">
    <w:name w:val="List Paragraph"/>
    <w:basedOn w:val="Normal"/>
    <w:uiPriority w:val="34"/>
    <w:qFormat/>
    <w:rsid w:val="003B27DB"/>
    <w:pPr>
      <w:ind w:left="720"/>
      <w:contextualSpacing/>
    </w:pPr>
  </w:style>
  <w:style w:type="character" w:styleId="CommentReference">
    <w:name w:val="annotation reference"/>
    <w:basedOn w:val="DefaultParagraphFont"/>
    <w:uiPriority w:val="99"/>
    <w:semiHidden/>
    <w:unhideWhenUsed/>
    <w:rsid w:val="00B16B49"/>
    <w:rPr>
      <w:sz w:val="16"/>
      <w:szCs w:val="16"/>
    </w:rPr>
  </w:style>
  <w:style w:type="paragraph" w:styleId="CommentText">
    <w:name w:val="annotation text"/>
    <w:basedOn w:val="Normal"/>
    <w:link w:val="CommentTextChar"/>
    <w:uiPriority w:val="99"/>
    <w:semiHidden/>
    <w:unhideWhenUsed/>
    <w:rsid w:val="00B16B49"/>
    <w:pPr>
      <w:spacing w:line="240" w:lineRule="auto"/>
    </w:pPr>
    <w:rPr>
      <w:sz w:val="20"/>
      <w:szCs w:val="20"/>
    </w:rPr>
  </w:style>
  <w:style w:type="character" w:customStyle="1" w:styleId="CommentTextChar">
    <w:name w:val="Comment Text Char"/>
    <w:basedOn w:val="DefaultParagraphFont"/>
    <w:link w:val="CommentText"/>
    <w:uiPriority w:val="99"/>
    <w:semiHidden/>
    <w:rsid w:val="00B16B49"/>
    <w:rPr>
      <w:sz w:val="20"/>
      <w:szCs w:val="20"/>
    </w:rPr>
  </w:style>
  <w:style w:type="paragraph" w:styleId="CommentSubject">
    <w:name w:val="annotation subject"/>
    <w:basedOn w:val="CommentText"/>
    <w:next w:val="CommentText"/>
    <w:link w:val="CommentSubjectChar"/>
    <w:uiPriority w:val="99"/>
    <w:semiHidden/>
    <w:unhideWhenUsed/>
    <w:rsid w:val="00B16B49"/>
    <w:rPr>
      <w:b/>
      <w:bCs/>
    </w:rPr>
  </w:style>
  <w:style w:type="character" w:customStyle="1" w:styleId="CommentSubjectChar">
    <w:name w:val="Comment Subject Char"/>
    <w:basedOn w:val="CommentTextChar"/>
    <w:link w:val="CommentSubject"/>
    <w:uiPriority w:val="99"/>
    <w:semiHidden/>
    <w:rsid w:val="00B16B49"/>
    <w:rPr>
      <w:b/>
      <w:bCs/>
      <w:sz w:val="20"/>
      <w:szCs w:val="20"/>
    </w:rPr>
  </w:style>
  <w:style w:type="paragraph" w:styleId="Revision">
    <w:name w:val="Revision"/>
    <w:hidden/>
    <w:uiPriority w:val="99"/>
    <w:semiHidden/>
    <w:rsid w:val="00B16B49"/>
    <w:pPr>
      <w:spacing w:after="0" w:line="240" w:lineRule="auto"/>
    </w:pPr>
  </w:style>
  <w:style w:type="character" w:styleId="Hyperlink">
    <w:name w:val="Hyperlink"/>
    <w:basedOn w:val="DefaultParagraphFont"/>
    <w:uiPriority w:val="99"/>
    <w:unhideWhenUsed/>
    <w:rsid w:val="007F261D"/>
    <w:rPr>
      <w:color w:val="0000FF" w:themeColor="hyperlink"/>
      <w:u w:val="single"/>
    </w:rPr>
  </w:style>
  <w:style w:type="paragraph" w:styleId="Header">
    <w:name w:val="header"/>
    <w:basedOn w:val="Normal"/>
    <w:link w:val="HeaderChar"/>
    <w:uiPriority w:val="99"/>
    <w:unhideWhenUsed/>
    <w:rsid w:val="00FE5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470"/>
  </w:style>
  <w:style w:type="paragraph" w:styleId="Footer">
    <w:name w:val="footer"/>
    <w:basedOn w:val="Normal"/>
    <w:link w:val="FooterChar"/>
    <w:uiPriority w:val="99"/>
    <w:unhideWhenUsed/>
    <w:rsid w:val="00FE5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470"/>
  </w:style>
  <w:style w:type="character" w:customStyle="1" w:styleId="Heading1Char">
    <w:name w:val="Heading 1 Char"/>
    <w:basedOn w:val="DefaultParagraphFont"/>
    <w:link w:val="Heading1"/>
    <w:uiPriority w:val="9"/>
    <w:rsid w:val="00AA39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393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4308A"/>
    <w:rPr>
      <w:color w:val="800080" w:themeColor="followedHyperlink"/>
      <w:u w:val="single"/>
    </w:rPr>
  </w:style>
  <w:style w:type="character" w:customStyle="1" w:styleId="gfsc-rtestyle-bodyemphasisblack">
    <w:name w:val="gfsc-rtestyle-bodyemphasisblack"/>
    <w:basedOn w:val="DefaultParagraphFont"/>
    <w:rsid w:val="00E2480E"/>
  </w:style>
  <w:style w:type="paragraph" w:styleId="FootnoteText">
    <w:name w:val="footnote text"/>
    <w:basedOn w:val="Normal"/>
    <w:link w:val="FootnoteTextChar"/>
    <w:uiPriority w:val="99"/>
    <w:semiHidden/>
    <w:unhideWhenUsed/>
    <w:rsid w:val="00633E17"/>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33E1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33E17"/>
    <w:rPr>
      <w:vertAlign w:val="superscript"/>
    </w:rPr>
  </w:style>
  <w:style w:type="paragraph" w:customStyle="1" w:styleId="Default">
    <w:name w:val="Default"/>
    <w:link w:val="DefaultChar"/>
    <w:rsid w:val="004B36E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3050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9B3941"/>
    <w:rPr>
      <w:rFonts w:ascii="Times New Roman" w:hAnsi="Times New Roman" w:cs="Times New Roman"/>
      <w:color w:val="000000"/>
      <w:sz w:val="24"/>
      <w:szCs w:val="24"/>
    </w:rPr>
  </w:style>
  <w:style w:type="paragraph" w:customStyle="1" w:styleId="BulletedList">
    <w:name w:val="Bulleted List"/>
    <w:basedOn w:val="ListParagraph"/>
    <w:link w:val="BulletedListChar"/>
    <w:qFormat/>
    <w:rsid w:val="00B22AA2"/>
    <w:pPr>
      <w:numPr>
        <w:numId w:val="16"/>
      </w:numPr>
      <w:spacing w:before="120" w:after="120" w:line="300" w:lineRule="atLeast"/>
      <w:jc w:val="both"/>
    </w:pPr>
  </w:style>
  <w:style w:type="character" w:customStyle="1" w:styleId="BulletedListChar">
    <w:name w:val="Bulleted List Char"/>
    <w:basedOn w:val="DefaultParagraphFont"/>
    <w:link w:val="BulletedList"/>
    <w:rsid w:val="00B22AA2"/>
  </w:style>
  <w:style w:type="paragraph" w:customStyle="1" w:styleId="NUMBERPARA">
    <w:name w:val="NUMBER PARA"/>
    <w:basedOn w:val="NoSpacing"/>
    <w:link w:val="NUMBERPARAChar"/>
    <w:qFormat/>
    <w:rsid w:val="00B22AA2"/>
    <w:pPr>
      <w:numPr>
        <w:numId w:val="17"/>
      </w:numPr>
      <w:spacing w:before="120" w:after="120" w:line="300" w:lineRule="atLeast"/>
      <w:jc w:val="both"/>
    </w:pPr>
  </w:style>
  <w:style w:type="character" w:customStyle="1" w:styleId="NUMBERPARAChar">
    <w:name w:val="NUMBER PARA Char"/>
    <w:basedOn w:val="DefaultParagraphFont"/>
    <w:link w:val="NUMBERPARA"/>
    <w:rsid w:val="00B22AA2"/>
  </w:style>
  <w:style w:type="paragraph" w:styleId="NoSpacing">
    <w:name w:val="No Spacing"/>
    <w:uiPriority w:val="1"/>
    <w:qFormat/>
    <w:rsid w:val="00B22AA2"/>
    <w:pPr>
      <w:spacing w:after="0" w:line="240" w:lineRule="auto"/>
    </w:pPr>
  </w:style>
  <w:style w:type="paragraph" w:styleId="NormalWeb">
    <w:name w:val="Normal (Web)"/>
    <w:basedOn w:val="Normal"/>
    <w:uiPriority w:val="99"/>
    <w:semiHidden/>
    <w:unhideWhenUsed/>
    <w:rsid w:val="001803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5733">
      <w:bodyDiv w:val="1"/>
      <w:marLeft w:val="0"/>
      <w:marRight w:val="0"/>
      <w:marTop w:val="0"/>
      <w:marBottom w:val="0"/>
      <w:divBdr>
        <w:top w:val="none" w:sz="0" w:space="0" w:color="auto"/>
        <w:left w:val="none" w:sz="0" w:space="0" w:color="auto"/>
        <w:bottom w:val="none" w:sz="0" w:space="0" w:color="auto"/>
        <w:right w:val="none" w:sz="0" w:space="0" w:color="auto"/>
      </w:divBdr>
    </w:div>
    <w:div w:id="280763730">
      <w:bodyDiv w:val="1"/>
      <w:marLeft w:val="0"/>
      <w:marRight w:val="0"/>
      <w:marTop w:val="0"/>
      <w:marBottom w:val="0"/>
      <w:divBdr>
        <w:top w:val="none" w:sz="0" w:space="0" w:color="auto"/>
        <w:left w:val="none" w:sz="0" w:space="0" w:color="auto"/>
        <w:bottom w:val="none" w:sz="0" w:space="0" w:color="auto"/>
        <w:right w:val="none" w:sz="0" w:space="0" w:color="auto"/>
      </w:divBdr>
    </w:div>
    <w:div w:id="339818838">
      <w:bodyDiv w:val="1"/>
      <w:marLeft w:val="0"/>
      <w:marRight w:val="0"/>
      <w:marTop w:val="0"/>
      <w:marBottom w:val="0"/>
      <w:divBdr>
        <w:top w:val="none" w:sz="0" w:space="0" w:color="auto"/>
        <w:left w:val="none" w:sz="0" w:space="0" w:color="auto"/>
        <w:bottom w:val="none" w:sz="0" w:space="0" w:color="auto"/>
        <w:right w:val="none" w:sz="0" w:space="0" w:color="auto"/>
      </w:divBdr>
    </w:div>
    <w:div w:id="581060878">
      <w:bodyDiv w:val="1"/>
      <w:marLeft w:val="0"/>
      <w:marRight w:val="0"/>
      <w:marTop w:val="0"/>
      <w:marBottom w:val="0"/>
      <w:divBdr>
        <w:top w:val="none" w:sz="0" w:space="0" w:color="auto"/>
        <w:left w:val="none" w:sz="0" w:space="0" w:color="auto"/>
        <w:bottom w:val="none" w:sz="0" w:space="0" w:color="auto"/>
        <w:right w:val="none" w:sz="0" w:space="0" w:color="auto"/>
      </w:divBdr>
    </w:div>
    <w:div w:id="660277997">
      <w:bodyDiv w:val="1"/>
      <w:marLeft w:val="0"/>
      <w:marRight w:val="0"/>
      <w:marTop w:val="0"/>
      <w:marBottom w:val="0"/>
      <w:divBdr>
        <w:top w:val="none" w:sz="0" w:space="0" w:color="auto"/>
        <w:left w:val="none" w:sz="0" w:space="0" w:color="auto"/>
        <w:bottom w:val="none" w:sz="0" w:space="0" w:color="auto"/>
        <w:right w:val="none" w:sz="0" w:space="0" w:color="auto"/>
      </w:divBdr>
    </w:div>
    <w:div w:id="749695314">
      <w:bodyDiv w:val="1"/>
      <w:marLeft w:val="0"/>
      <w:marRight w:val="0"/>
      <w:marTop w:val="0"/>
      <w:marBottom w:val="0"/>
      <w:divBdr>
        <w:top w:val="none" w:sz="0" w:space="0" w:color="auto"/>
        <w:left w:val="none" w:sz="0" w:space="0" w:color="auto"/>
        <w:bottom w:val="none" w:sz="0" w:space="0" w:color="auto"/>
        <w:right w:val="none" w:sz="0" w:space="0" w:color="auto"/>
      </w:divBdr>
      <w:divsChild>
        <w:div w:id="1554660494">
          <w:marLeft w:val="0"/>
          <w:marRight w:val="0"/>
          <w:marTop w:val="0"/>
          <w:marBottom w:val="0"/>
          <w:divBdr>
            <w:top w:val="none" w:sz="0" w:space="0" w:color="auto"/>
            <w:left w:val="none" w:sz="0" w:space="0" w:color="auto"/>
            <w:bottom w:val="none" w:sz="0" w:space="0" w:color="auto"/>
            <w:right w:val="none" w:sz="0" w:space="0" w:color="auto"/>
          </w:divBdr>
          <w:divsChild>
            <w:div w:id="1534534808">
              <w:marLeft w:val="0"/>
              <w:marRight w:val="0"/>
              <w:marTop w:val="0"/>
              <w:marBottom w:val="0"/>
              <w:divBdr>
                <w:top w:val="none" w:sz="0" w:space="0" w:color="auto"/>
                <w:left w:val="none" w:sz="0" w:space="0" w:color="auto"/>
                <w:bottom w:val="none" w:sz="0" w:space="0" w:color="auto"/>
                <w:right w:val="none" w:sz="0" w:space="0" w:color="auto"/>
              </w:divBdr>
              <w:divsChild>
                <w:div w:id="1766880834">
                  <w:marLeft w:val="0"/>
                  <w:marRight w:val="0"/>
                  <w:marTop w:val="0"/>
                  <w:marBottom w:val="0"/>
                  <w:divBdr>
                    <w:top w:val="none" w:sz="0" w:space="0" w:color="auto"/>
                    <w:left w:val="none" w:sz="0" w:space="0" w:color="auto"/>
                    <w:bottom w:val="none" w:sz="0" w:space="0" w:color="auto"/>
                    <w:right w:val="none" w:sz="0" w:space="0" w:color="auto"/>
                  </w:divBdr>
                  <w:divsChild>
                    <w:div w:id="711074384">
                      <w:marLeft w:val="0"/>
                      <w:marRight w:val="0"/>
                      <w:marTop w:val="0"/>
                      <w:marBottom w:val="0"/>
                      <w:divBdr>
                        <w:top w:val="none" w:sz="0" w:space="0" w:color="auto"/>
                        <w:left w:val="none" w:sz="0" w:space="0" w:color="auto"/>
                        <w:bottom w:val="none" w:sz="0" w:space="0" w:color="auto"/>
                        <w:right w:val="none" w:sz="0" w:space="0" w:color="auto"/>
                      </w:divBdr>
                      <w:divsChild>
                        <w:div w:id="1469779236">
                          <w:marLeft w:val="0"/>
                          <w:marRight w:val="0"/>
                          <w:marTop w:val="0"/>
                          <w:marBottom w:val="0"/>
                          <w:divBdr>
                            <w:top w:val="none" w:sz="0" w:space="0" w:color="auto"/>
                            <w:left w:val="none" w:sz="0" w:space="0" w:color="auto"/>
                            <w:bottom w:val="none" w:sz="0" w:space="0" w:color="auto"/>
                            <w:right w:val="none" w:sz="0" w:space="0" w:color="auto"/>
                          </w:divBdr>
                          <w:divsChild>
                            <w:div w:id="39980258">
                              <w:marLeft w:val="0"/>
                              <w:marRight w:val="0"/>
                              <w:marTop w:val="0"/>
                              <w:marBottom w:val="0"/>
                              <w:divBdr>
                                <w:top w:val="none" w:sz="0" w:space="0" w:color="auto"/>
                                <w:left w:val="none" w:sz="0" w:space="0" w:color="auto"/>
                                <w:bottom w:val="none" w:sz="0" w:space="0" w:color="auto"/>
                                <w:right w:val="none" w:sz="0" w:space="0" w:color="auto"/>
                              </w:divBdr>
                              <w:divsChild>
                                <w:div w:id="1316684026">
                                  <w:marLeft w:val="0"/>
                                  <w:marRight w:val="0"/>
                                  <w:marTop w:val="0"/>
                                  <w:marBottom w:val="0"/>
                                  <w:divBdr>
                                    <w:top w:val="none" w:sz="0" w:space="0" w:color="auto"/>
                                    <w:left w:val="none" w:sz="0" w:space="0" w:color="auto"/>
                                    <w:bottom w:val="none" w:sz="0" w:space="0" w:color="auto"/>
                                    <w:right w:val="none" w:sz="0" w:space="0" w:color="auto"/>
                                  </w:divBdr>
                                  <w:divsChild>
                                    <w:div w:id="1002004669">
                                      <w:marLeft w:val="0"/>
                                      <w:marRight w:val="0"/>
                                      <w:marTop w:val="0"/>
                                      <w:marBottom w:val="0"/>
                                      <w:divBdr>
                                        <w:top w:val="none" w:sz="0" w:space="0" w:color="auto"/>
                                        <w:left w:val="none" w:sz="0" w:space="0" w:color="auto"/>
                                        <w:bottom w:val="none" w:sz="0" w:space="0" w:color="auto"/>
                                        <w:right w:val="none" w:sz="0" w:space="0" w:color="auto"/>
                                      </w:divBdr>
                                      <w:divsChild>
                                        <w:div w:id="18681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041306">
      <w:bodyDiv w:val="1"/>
      <w:marLeft w:val="0"/>
      <w:marRight w:val="0"/>
      <w:marTop w:val="0"/>
      <w:marBottom w:val="0"/>
      <w:divBdr>
        <w:top w:val="none" w:sz="0" w:space="0" w:color="auto"/>
        <w:left w:val="none" w:sz="0" w:space="0" w:color="auto"/>
        <w:bottom w:val="none" w:sz="0" w:space="0" w:color="auto"/>
        <w:right w:val="none" w:sz="0" w:space="0" w:color="auto"/>
      </w:divBdr>
      <w:divsChild>
        <w:div w:id="723407491">
          <w:marLeft w:val="0"/>
          <w:marRight w:val="0"/>
          <w:marTop w:val="0"/>
          <w:marBottom w:val="0"/>
          <w:divBdr>
            <w:top w:val="none" w:sz="0" w:space="0" w:color="auto"/>
            <w:left w:val="none" w:sz="0" w:space="0" w:color="auto"/>
            <w:bottom w:val="none" w:sz="0" w:space="0" w:color="auto"/>
            <w:right w:val="none" w:sz="0" w:space="0" w:color="auto"/>
          </w:divBdr>
        </w:div>
        <w:div w:id="232159488">
          <w:marLeft w:val="0"/>
          <w:marRight w:val="0"/>
          <w:marTop w:val="0"/>
          <w:marBottom w:val="0"/>
          <w:divBdr>
            <w:top w:val="none" w:sz="0" w:space="0" w:color="auto"/>
            <w:left w:val="none" w:sz="0" w:space="0" w:color="auto"/>
            <w:bottom w:val="none" w:sz="0" w:space="0" w:color="auto"/>
            <w:right w:val="none" w:sz="0" w:space="0" w:color="auto"/>
          </w:divBdr>
        </w:div>
        <w:div w:id="1114640646">
          <w:marLeft w:val="0"/>
          <w:marRight w:val="0"/>
          <w:marTop w:val="0"/>
          <w:marBottom w:val="0"/>
          <w:divBdr>
            <w:top w:val="none" w:sz="0" w:space="0" w:color="auto"/>
            <w:left w:val="none" w:sz="0" w:space="0" w:color="auto"/>
            <w:bottom w:val="none" w:sz="0" w:space="0" w:color="auto"/>
            <w:right w:val="none" w:sz="0" w:space="0" w:color="auto"/>
          </w:divBdr>
          <w:divsChild>
            <w:div w:id="6059945">
              <w:marLeft w:val="0"/>
              <w:marRight w:val="0"/>
              <w:marTop w:val="0"/>
              <w:marBottom w:val="0"/>
              <w:divBdr>
                <w:top w:val="none" w:sz="0" w:space="0" w:color="auto"/>
                <w:left w:val="none" w:sz="0" w:space="0" w:color="auto"/>
                <w:bottom w:val="single" w:sz="6" w:space="0" w:color="CAD2DB"/>
                <w:right w:val="none" w:sz="0" w:space="0" w:color="auto"/>
              </w:divBdr>
              <w:divsChild>
                <w:div w:id="16590137">
                  <w:marLeft w:val="0"/>
                  <w:marRight w:val="0"/>
                  <w:marTop w:val="285"/>
                  <w:marBottom w:val="0"/>
                  <w:divBdr>
                    <w:top w:val="none" w:sz="0" w:space="0" w:color="auto"/>
                    <w:left w:val="none" w:sz="0" w:space="0" w:color="auto"/>
                    <w:bottom w:val="none" w:sz="0" w:space="0" w:color="auto"/>
                    <w:right w:val="none" w:sz="0" w:space="0" w:color="auto"/>
                  </w:divBdr>
                  <w:divsChild>
                    <w:div w:id="1135487222">
                      <w:marLeft w:val="0"/>
                      <w:marRight w:val="0"/>
                      <w:marTop w:val="0"/>
                      <w:marBottom w:val="0"/>
                      <w:divBdr>
                        <w:top w:val="none" w:sz="0" w:space="0" w:color="auto"/>
                        <w:left w:val="none" w:sz="0" w:space="0" w:color="auto"/>
                        <w:bottom w:val="none" w:sz="0" w:space="0" w:color="auto"/>
                        <w:right w:val="none" w:sz="0" w:space="0" w:color="auto"/>
                      </w:divBdr>
                      <w:divsChild>
                        <w:div w:id="729614839">
                          <w:marLeft w:val="0"/>
                          <w:marRight w:val="-225"/>
                          <w:marTop w:val="0"/>
                          <w:marBottom w:val="75"/>
                          <w:divBdr>
                            <w:top w:val="none" w:sz="0" w:space="0" w:color="auto"/>
                            <w:left w:val="none" w:sz="0" w:space="0" w:color="auto"/>
                            <w:bottom w:val="dashed" w:sz="6" w:space="4" w:color="auto"/>
                            <w:right w:val="none" w:sz="0" w:space="0" w:color="auto"/>
                          </w:divBdr>
                        </w:div>
                      </w:divsChild>
                    </w:div>
                  </w:divsChild>
                </w:div>
              </w:divsChild>
            </w:div>
          </w:divsChild>
        </w:div>
        <w:div w:id="583997216">
          <w:marLeft w:val="0"/>
          <w:marRight w:val="0"/>
          <w:marTop w:val="0"/>
          <w:marBottom w:val="0"/>
          <w:divBdr>
            <w:top w:val="none" w:sz="0" w:space="0" w:color="auto"/>
            <w:left w:val="none" w:sz="0" w:space="0" w:color="auto"/>
            <w:bottom w:val="none" w:sz="0" w:space="0" w:color="auto"/>
            <w:right w:val="none" w:sz="0" w:space="0" w:color="auto"/>
          </w:divBdr>
          <w:divsChild>
            <w:div w:id="1257788780">
              <w:marLeft w:val="0"/>
              <w:marRight w:val="0"/>
              <w:marTop w:val="0"/>
              <w:marBottom w:val="0"/>
              <w:divBdr>
                <w:top w:val="none" w:sz="0" w:space="0" w:color="auto"/>
                <w:left w:val="none" w:sz="0" w:space="0" w:color="auto"/>
                <w:bottom w:val="none" w:sz="0" w:space="0" w:color="auto"/>
                <w:right w:val="none" w:sz="0" w:space="0" w:color="auto"/>
              </w:divBdr>
              <w:divsChild>
                <w:div w:id="1671518009">
                  <w:marLeft w:val="0"/>
                  <w:marRight w:val="0"/>
                  <w:marTop w:val="0"/>
                  <w:marBottom w:val="0"/>
                  <w:divBdr>
                    <w:top w:val="none" w:sz="0" w:space="0" w:color="auto"/>
                    <w:left w:val="none" w:sz="0" w:space="0" w:color="auto"/>
                    <w:bottom w:val="none" w:sz="0" w:space="0" w:color="auto"/>
                    <w:right w:val="none" w:sz="0" w:space="0" w:color="auto"/>
                  </w:divBdr>
                  <w:divsChild>
                    <w:div w:id="186334344">
                      <w:marLeft w:val="0"/>
                      <w:marRight w:val="0"/>
                      <w:marTop w:val="0"/>
                      <w:marBottom w:val="0"/>
                      <w:divBdr>
                        <w:top w:val="none" w:sz="0" w:space="0" w:color="auto"/>
                        <w:left w:val="none" w:sz="0" w:space="0" w:color="auto"/>
                        <w:bottom w:val="none" w:sz="0" w:space="0" w:color="auto"/>
                        <w:right w:val="none" w:sz="0" w:space="0" w:color="auto"/>
                      </w:divBdr>
                      <w:divsChild>
                        <w:div w:id="353919956">
                          <w:marLeft w:val="0"/>
                          <w:marRight w:val="0"/>
                          <w:marTop w:val="0"/>
                          <w:marBottom w:val="0"/>
                          <w:divBdr>
                            <w:top w:val="none" w:sz="0" w:space="0" w:color="auto"/>
                            <w:left w:val="none" w:sz="0" w:space="0" w:color="auto"/>
                            <w:bottom w:val="none" w:sz="0" w:space="0" w:color="auto"/>
                            <w:right w:val="none" w:sz="0" w:space="0" w:color="auto"/>
                          </w:divBdr>
                        </w:div>
                        <w:div w:id="2042124349">
                          <w:marLeft w:val="0"/>
                          <w:marRight w:val="0"/>
                          <w:marTop w:val="0"/>
                          <w:marBottom w:val="0"/>
                          <w:divBdr>
                            <w:top w:val="none" w:sz="0" w:space="0" w:color="auto"/>
                            <w:left w:val="none" w:sz="0" w:space="0" w:color="auto"/>
                            <w:bottom w:val="none" w:sz="0" w:space="0" w:color="auto"/>
                            <w:right w:val="none" w:sz="0" w:space="0" w:color="auto"/>
                          </w:divBdr>
                          <w:divsChild>
                            <w:div w:id="591624996">
                              <w:marLeft w:val="0"/>
                              <w:marRight w:val="0"/>
                              <w:marTop w:val="0"/>
                              <w:marBottom w:val="0"/>
                              <w:divBdr>
                                <w:top w:val="none" w:sz="0" w:space="0" w:color="auto"/>
                                <w:left w:val="none" w:sz="0" w:space="0" w:color="auto"/>
                                <w:bottom w:val="none" w:sz="0" w:space="0" w:color="auto"/>
                                <w:right w:val="none" w:sz="0" w:space="0" w:color="auto"/>
                              </w:divBdr>
                              <w:divsChild>
                                <w:div w:id="1050306174">
                                  <w:marLeft w:val="0"/>
                                  <w:marRight w:val="0"/>
                                  <w:marTop w:val="0"/>
                                  <w:marBottom w:val="0"/>
                                  <w:divBdr>
                                    <w:top w:val="none" w:sz="0" w:space="0" w:color="auto"/>
                                    <w:left w:val="none" w:sz="0" w:space="0" w:color="auto"/>
                                    <w:bottom w:val="none" w:sz="0" w:space="0" w:color="auto"/>
                                    <w:right w:val="none" w:sz="0" w:space="0" w:color="auto"/>
                                  </w:divBdr>
                                  <w:divsChild>
                                    <w:div w:id="35330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1424">
                          <w:marLeft w:val="0"/>
                          <w:marRight w:val="0"/>
                          <w:marTop w:val="0"/>
                          <w:marBottom w:val="0"/>
                          <w:divBdr>
                            <w:top w:val="none" w:sz="0" w:space="0" w:color="auto"/>
                            <w:left w:val="none" w:sz="0" w:space="0" w:color="auto"/>
                            <w:bottom w:val="none" w:sz="0" w:space="0" w:color="auto"/>
                            <w:right w:val="none" w:sz="0" w:space="0" w:color="auto"/>
                          </w:divBdr>
                        </w:div>
                        <w:div w:id="1109197801">
                          <w:marLeft w:val="0"/>
                          <w:marRight w:val="0"/>
                          <w:marTop w:val="0"/>
                          <w:marBottom w:val="0"/>
                          <w:divBdr>
                            <w:top w:val="none" w:sz="0" w:space="0" w:color="auto"/>
                            <w:left w:val="none" w:sz="0" w:space="0" w:color="auto"/>
                            <w:bottom w:val="none" w:sz="0" w:space="0" w:color="auto"/>
                            <w:right w:val="none" w:sz="0" w:space="0" w:color="auto"/>
                          </w:divBdr>
                          <w:divsChild>
                            <w:div w:id="976451901">
                              <w:marLeft w:val="0"/>
                              <w:marRight w:val="0"/>
                              <w:marTop w:val="0"/>
                              <w:marBottom w:val="0"/>
                              <w:divBdr>
                                <w:top w:val="none" w:sz="0" w:space="0" w:color="auto"/>
                                <w:left w:val="none" w:sz="0" w:space="0" w:color="auto"/>
                                <w:bottom w:val="none" w:sz="0" w:space="0" w:color="auto"/>
                                <w:right w:val="none" w:sz="0" w:space="0" w:color="auto"/>
                              </w:divBdr>
                              <w:divsChild>
                                <w:div w:id="1394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37665">
                      <w:marLeft w:val="0"/>
                      <w:marRight w:val="0"/>
                      <w:marTop w:val="0"/>
                      <w:marBottom w:val="0"/>
                      <w:divBdr>
                        <w:top w:val="none" w:sz="0" w:space="0" w:color="auto"/>
                        <w:left w:val="none" w:sz="0" w:space="0" w:color="auto"/>
                        <w:bottom w:val="none" w:sz="0" w:space="0" w:color="auto"/>
                        <w:right w:val="none" w:sz="0" w:space="0" w:color="auto"/>
                      </w:divBdr>
                    </w:div>
                    <w:div w:id="1534684875">
                      <w:marLeft w:val="0"/>
                      <w:marRight w:val="0"/>
                      <w:marTop w:val="0"/>
                      <w:marBottom w:val="0"/>
                      <w:divBdr>
                        <w:top w:val="none" w:sz="0" w:space="0" w:color="auto"/>
                        <w:left w:val="none" w:sz="0" w:space="0" w:color="auto"/>
                        <w:bottom w:val="none" w:sz="0" w:space="0" w:color="auto"/>
                        <w:right w:val="none" w:sz="0" w:space="0" w:color="auto"/>
                      </w:divBdr>
                      <w:divsChild>
                        <w:div w:id="403181490">
                          <w:marLeft w:val="0"/>
                          <w:marRight w:val="0"/>
                          <w:marTop w:val="0"/>
                          <w:marBottom w:val="0"/>
                          <w:divBdr>
                            <w:top w:val="none" w:sz="0" w:space="0" w:color="auto"/>
                            <w:left w:val="none" w:sz="0" w:space="0" w:color="auto"/>
                            <w:bottom w:val="none" w:sz="0" w:space="0" w:color="auto"/>
                            <w:right w:val="none" w:sz="0" w:space="0" w:color="auto"/>
                          </w:divBdr>
                          <w:divsChild>
                            <w:div w:id="727726814">
                              <w:marLeft w:val="0"/>
                              <w:marRight w:val="0"/>
                              <w:marTop w:val="0"/>
                              <w:marBottom w:val="0"/>
                              <w:divBdr>
                                <w:top w:val="none" w:sz="0" w:space="0" w:color="auto"/>
                                <w:left w:val="none" w:sz="0" w:space="0" w:color="auto"/>
                                <w:bottom w:val="none" w:sz="0" w:space="0" w:color="auto"/>
                                <w:right w:val="none" w:sz="0" w:space="0" w:color="auto"/>
                              </w:divBdr>
                            </w:div>
                            <w:div w:id="600379594">
                              <w:marLeft w:val="0"/>
                              <w:marRight w:val="0"/>
                              <w:marTop w:val="0"/>
                              <w:marBottom w:val="0"/>
                              <w:divBdr>
                                <w:top w:val="none" w:sz="0" w:space="0" w:color="auto"/>
                                <w:left w:val="none" w:sz="0" w:space="0" w:color="auto"/>
                                <w:bottom w:val="none" w:sz="0" w:space="0" w:color="auto"/>
                                <w:right w:val="none" w:sz="0" w:space="0" w:color="auto"/>
                              </w:divBdr>
                              <w:divsChild>
                                <w:div w:id="1207066014">
                                  <w:marLeft w:val="0"/>
                                  <w:marRight w:val="0"/>
                                  <w:marTop w:val="0"/>
                                  <w:marBottom w:val="0"/>
                                  <w:divBdr>
                                    <w:top w:val="none" w:sz="0" w:space="0" w:color="auto"/>
                                    <w:left w:val="none" w:sz="0" w:space="0" w:color="auto"/>
                                    <w:bottom w:val="none" w:sz="0" w:space="0" w:color="auto"/>
                                    <w:right w:val="none" w:sz="0" w:space="0" w:color="auto"/>
                                  </w:divBdr>
                                  <w:divsChild>
                                    <w:div w:id="12862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2066">
                          <w:marLeft w:val="0"/>
                          <w:marRight w:val="0"/>
                          <w:marTop w:val="0"/>
                          <w:marBottom w:val="0"/>
                          <w:divBdr>
                            <w:top w:val="none" w:sz="0" w:space="0" w:color="auto"/>
                            <w:left w:val="none" w:sz="0" w:space="0" w:color="auto"/>
                            <w:bottom w:val="none" w:sz="0" w:space="0" w:color="auto"/>
                            <w:right w:val="none" w:sz="0" w:space="0" w:color="auto"/>
                          </w:divBdr>
                          <w:divsChild>
                            <w:div w:id="974874456">
                              <w:marLeft w:val="0"/>
                              <w:marRight w:val="0"/>
                              <w:marTop w:val="0"/>
                              <w:marBottom w:val="0"/>
                              <w:divBdr>
                                <w:top w:val="none" w:sz="0" w:space="0" w:color="auto"/>
                                <w:left w:val="none" w:sz="0" w:space="0" w:color="auto"/>
                                <w:bottom w:val="none" w:sz="0" w:space="0" w:color="auto"/>
                                <w:right w:val="none" w:sz="0" w:space="0" w:color="auto"/>
                              </w:divBdr>
                              <w:divsChild>
                                <w:div w:id="481503910">
                                  <w:marLeft w:val="0"/>
                                  <w:marRight w:val="0"/>
                                  <w:marTop w:val="0"/>
                                  <w:marBottom w:val="0"/>
                                  <w:divBdr>
                                    <w:top w:val="none" w:sz="0" w:space="0" w:color="auto"/>
                                    <w:left w:val="none" w:sz="0" w:space="0" w:color="auto"/>
                                    <w:bottom w:val="none" w:sz="0" w:space="0" w:color="auto"/>
                                    <w:right w:val="none" w:sz="0" w:space="0" w:color="auto"/>
                                  </w:divBdr>
                                </w:div>
                              </w:divsChild>
                            </w:div>
                            <w:div w:id="1796098357">
                              <w:marLeft w:val="0"/>
                              <w:marRight w:val="0"/>
                              <w:marTop w:val="0"/>
                              <w:marBottom w:val="0"/>
                              <w:divBdr>
                                <w:top w:val="none" w:sz="0" w:space="0" w:color="auto"/>
                                <w:left w:val="none" w:sz="0" w:space="0" w:color="auto"/>
                                <w:bottom w:val="none" w:sz="0" w:space="0" w:color="auto"/>
                                <w:right w:val="none" w:sz="0" w:space="0" w:color="auto"/>
                              </w:divBdr>
                              <w:divsChild>
                                <w:div w:id="1563715954">
                                  <w:marLeft w:val="0"/>
                                  <w:marRight w:val="0"/>
                                  <w:marTop w:val="0"/>
                                  <w:marBottom w:val="0"/>
                                  <w:divBdr>
                                    <w:top w:val="none" w:sz="0" w:space="0" w:color="auto"/>
                                    <w:left w:val="none" w:sz="0" w:space="0" w:color="auto"/>
                                    <w:bottom w:val="none" w:sz="0" w:space="0" w:color="auto"/>
                                    <w:right w:val="none" w:sz="0" w:space="0" w:color="auto"/>
                                  </w:divBdr>
                                  <w:divsChild>
                                    <w:div w:id="896472145">
                                      <w:marLeft w:val="0"/>
                                      <w:marRight w:val="0"/>
                                      <w:marTop w:val="0"/>
                                      <w:marBottom w:val="0"/>
                                      <w:divBdr>
                                        <w:top w:val="none" w:sz="0" w:space="0" w:color="auto"/>
                                        <w:left w:val="none" w:sz="0" w:space="0" w:color="auto"/>
                                        <w:bottom w:val="none" w:sz="0" w:space="0" w:color="auto"/>
                                        <w:right w:val="none" w:sz="0" w:space="0" w:color="auto"/>
                                      </w:divBdr>
                                      <w:divsChild>
                                        <w:div w:id="1420827722">
                                          <w:marLeft w:val="0"/>
                                          <w:marRight w:val="0"/>
                                          <w:marTop w:val="0"/>
                                          <w:marBottom w:val="0"/>
                                          <w:divBdr>
                                            <w:top w:val="none" w:sz="0" w:space="0" w:color="auto"/>
                                            <w:left w:val="none" w:sz="0" w:space="0" w:color="auto"/>
                                            <w:bottom w:val="none" w:sz="0" w:space="0" w:color="auto"/>
                                            <w:right w:val="none" w:sz="0" w:space="0" w:color="auto"/>
                                          </w:divBdr>
                                        </w:div>
                                        <w:div w:id="1257597385">
                                          <w:marLeft w:val="0"/>
                                          <w:marRight w:val="0"/>
                                          <w:marTop w:val="0"/>
                                          <w:marBottom w:val="0"/>
                                          <w:divBdr>
                                            <w:top w:val="none" w:sz="0" w:space="0" w:color="auto"/>
                                            <w:left w:val="none" w:sz="0" w:space="0" w:color="auto"/>
                                            <w:bottom w:val="none" w:sz="0" w:space="0" w:color="auto"/>
                                            <w:right w:val="none" w:sz="0" w:space="0" w:color="auto"/>
                                          </w:divBdr>
                                        </w:div>
                                        <w:div w:id="1486047498">
                                          <w:marLeft w:val="0"/>
                                          <w:marRight w:val="0"/>
                                          <w:marTop w:val="0"/>
                                          <w:marBottom w:val="0"/>
                                          <w:divBdr>
                                            <w:top w:val="none" w:sz="0" w:space="0" w:color="auto"/>
                                            <w:left w:val="none" w:sz="0" w:space="0" w:color="auto"/>
                                            <w:bottom w:val="none" w:sz="0" w:space="0" w:color="auto"/>
                                            <w:right w:val="none" w:sz="0" w:space="0" w:color="auto"/>
                                          </w:divBdr>
                                        </w:div>
                                        <w:div w:id="754938094">
                                          <w:marLeft w:val="0"/>
                                          <w:marRight w:val="0"/>
                                          <w:marTop w:val="0"/>
                                          <w:marBottom w:val="0"/>
                                          <w:divBdr>
                                            <w:top w:val="none" w:sz="0" w:space="0" w:color="auto"/>
                                            <w:left w:val="none" w:sz="0" w:space="0" w:color="auto"/>
                                            <w:bottom w:val="none" w:sz="0" w:space="0" w:color="auto"/>
                                            <w:right w:val="none" w:sz="0" w:space="0" w:color="auto"/>
                                          </w:divBdr>
                                        </w:div>
                                        <w:div w:id="2026322809">
                                          <w:marLeft w:val="0"/>
                                          <w:marRight w:val="0"/>
                                          <w:marTop w:val="0"/>
                                          <w:marBottom w:val="0"/>
                                          <w:divBdr>
                                            <w:top w:val="none" w:sz="0" w:space="0" w:color="auto"/>
                                            <w:left w:val="none" w:sz="0" w:space="0" w:color="auto"/>
                                            <w:bottom w:val="none" w:sz="0" w:space="0" w:color="auto"/>
                                            <w:right w:val="none" w:sz="0" w:space="0" w:color="auto"/>
                                          </w:divBdr>
                                        </w:div>
                                      </w:divsChild>
                                    </w:div>
                                    <w:div w:id="1227454345">
                                      <w:marLeft w:val="0"/>
                                      <w:marRight w:val="0"/>
                                      <w:marTop w:val="0"/>
                                      <w:marBottom w:val="0"/>
                                      <w:divBdr>
                                        <w:top w:val="none" w:sz="0" w:space="0" w:color="auto"/>
                                        <w:left w:val="none" w:sz="0" w:space="0" w:color="auto"/>
                                        <w:bottom w:val="none" w:sz="0" w:space="0" w:color="auto"/>
                                        <w:right w:val="none" w:sz="0" w:space="0" w:color="auto"/>
                                      </w:divBdr>
                                      <w:divsChild>
                                        <w:div w:id="2059625963">
                                          <w:marLeft w:val="0"/>
                                          <w:marRight w:val="0"/>
                                          <w:marTop w:val="0"/>
                                          <w:marBottom w:val="0"/>
                                          <w:divBdr>
                                            <w:top w:val="none" w:sz="0" w:space="0" w:color="auto"/>
                                            <w:left w:val="none" w:sz="0" w:space="0" w:color="auto"/>
                                            <w:bottom w:val="none" w:sz="0" w:space="0" w:color="auto"/>
                                            <w:right w:val="none" w:sz="0" w:space="0" w:color="auto"/>
                                          </w:divBdr>
                                        </w:div>
                                        <w:div w:id="26523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1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6430">
      <w:bodyDiv w:val="1"/>
      <w:marLeft w:val="0"/>
      <w:marRight w:val="0"/>
      <w:marTop w:val="0"/>
      <w:marBottom w:val="0"/>
      <w:divBdr>
        <w:top w:val="none" w:sz="0" w:space="0" w:color="auto"/>
        <w:left w:val="none" w:sz="0" w:space="0" w:color="auto"/>
        <w:bottom w:val="none" w:sz="0" w:space="0" w:color="auto"/>
        <w:right w:val="none" w:sz="0" w:space="0" w:color="auto"/>
      </w:divBdr>
    </w:div>
    <w:div w:id="1290433193">
      <w:bodyDiv w:val="1"/>
      <w:marLeft w:val="0"/>
      <w:marRight w:val="0"/>
      <w:marTop w:val="0"/>
      <w:marBottom w:val="0"/>
      <w:divBdr>
        <w:top w:val="none" w:sz="0" w:space="0" w:color="auto"/>
        <w:left w:val="none" w:sz="0" w:space="0" w:color="auto"/>
        <w:bottom w:val="none" w:sz="0" w:space="0" w:color="auto"/>
        <w:right w:val="none" w:sz="0" w:space="0" w:color="auto"/>
      </w:divBdr>
    </w:div>
    <w:div w:id="1662199262">
      <w:bodyDiv w:val="1"/>
      <w:marLeft w:val="0"/>
      <w:marRight w:val="0"/>
      <w:marTop w:val="0"/>
      <w:marBottom w:val="0"/>
      <w:divBdr>
        <w:top w:val="none" w:sz="0" w:space="0" w:color="auto"/>
        <w:left w:val="none" w:sz="0" w:space="0" w:color="auto"/>
        <w:bottom w:val="none" w:sz="0" w:space="0" w:color="auto"/>
        <w:right w:val="none" w:sz="0" w:space="0" w:color="auto"/>
      </w:divBdr>
    </w:div>
    <w:div w:id="1902250279">
      <w:bodyDiv w:val="1"/>
      <w:marLeft w:val="0"/>
      <w:marRight w:val="0"/>
      <w:marTop w:val="0"/>
      <w:marBottom w:val="0"/>
      <w:divBdr>
        <w:top w:val="none" w:sz="0" w:space="0" w:color="auto"/>
        <w:left w:val="none" w:sz="0" w:space="0" w:color="auto"/>
        <w:bottom w:val="none" w:sz="0" w:space="0" w:color="auto"/>
        <w:right w:val="none" w:sz="0" w:space="0" w:color="auto"/>
      </w:divBdr>
    </w:div>
    <w:div w:id="196674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2414744-8861-431a-9863-eb4c0d5384c4">IDOC-118-578</_dlc_DocId>
    <_dlc_DocIdUrl xmlns="c2414744-8861-431a-9863-eb4c0d5384c4">
      <Url>http://intranet/COO/_layouts/DocIdRedir.aspx?ID=IDOC-118-578</Url>
      <Description>IDOC-118-578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3A1DFB212DFF48B5B92F952DD77CB8" ma:contentTypeVersion="1" ma:contentTypeDescription="Create a new document." ma:contentTypeScope="" ma:versionID="717949e118d544c28739fb5f8bfc06da">
  <xsd:schema xmlns:xsd="http://www.w3.org/2001/XMLSchema" xmlns:xs="http://www.w3.org/2001/XMLSchema" xmlns:p="http://schemas.microsoft.com/office/2006/metadata/properties" xmlns:ns1="http://schemas.microsoft.com/sharepoint/v3" xmlns:ns2="c2414744-8861-431a-9863-eb4c0d5384c4" targetNamespace="http://schemas.microsoft.com/office/2006/metadata/properties" ma:root="true" ma:fieldsID="ec23787bc05cd1e68a19982d8cce55f2" ns1:_="" ns2:_="">
    <xsd:import namespace="http://schemas.microsoft.com/sharepoint/v3"/>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ED769-D3D7-479C-B413-CD832B3355FD}">
  <ds:schemaRefs>
    <ds:schemaRef ds:uri="http://schemas.microsoft.com/sharepoint/events"/>
  </ds:schemaRefs>
</ds:datastoreItem>
</file>

<file path=customXml/itemProps2.xml><?xml version="1.0" encoding="utf-8"?>
<ds:datastoreItem xmlns:ds="http://schemas.openxmlformats.org/officeDocument/2006/customXml" ds:itemID="{E9288978-5498-42CE-BD10-E38657C9699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c2414744-8861-431a-9863-eb4c0d5384c4"/>
    <ds:schemaRef ds:uri="http://www.w3.org/XML/1998/namespace"/>
  </ds:schemaRefs>
</ds:datastoreItem>
</file>

<file path=customXml/itemProps3.xml><?xml version="1.0" encoding="utf-8"?>
<ds:datastoreItem xmlns:ds="http://schemas.openxmlformats.org/officeDocument/2006/customXml" ds:itemID="{BCA589D7-058F-4D58-8A29-58C586D18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15D666-E2FD-4B64-9651-7C5DC2C5D305}">
  <ds:schemaRefs>
    <ds:schemaRef ds:uri="http://schemas.microsoft.com/sharepoint/v3/contenttype/forms"/>
  </ds:schemaRefs>
</ds:datastoreItem>
</file>

<file path=customXml/itemProps5.xml><?xml version="1.0" encoding="utf-8"?>
<ds:datastoreItem xmlns:ds="http://schemas.openxmlformats.org/officeDocument/2006/customXml" ds:itemID="{4C332F07-636C-4814-8296-8CDF432B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Guernsey Financial Services Commission</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Cole</dc:creator>
  <cp:lastModifiedBy>Dale Holmes</cp:lastModifiedBy>
  <cp:revision>2</cp:revision>
  <cp:lastPrinted>2017-11-03T14:09:00Z</cp:lastPrinted>
  <dcterms:created xsi:type="dcterms:W3CDTF">2017-11-03T14:22:00Z</dcterms:created>
  <dcterms:modified xsi:type="dcterms:W3CDTF">2017-11-03T14:22:00Z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0x010100CD3A1DFB212DFF48B5B92F952DD77CB8</vt:lpwstr>
  </property>
  <property fmtid="{D5CDD505-2E9C-101B-9397-08002B2CF9AE}" pid="3" name="_dlc_DocIdItemGuid">
    <vt:lpwstr>636e1da1-1f09-49ad-9aca-656e60b55647</vt:lpwstr>
  </property>
</Properties>
</file>