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6FEC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</w:t>
      </w:r>
      <w:r w:rsidRPr="003B631A">
        <w:rPr>
          <w:rFonts w:ascii="Times New Roman" w:hAnsi="Times New Roman" w:cs="Times New Roman"/>
          <w:b/>
          <w:bCs/>
          <w:sz w:val="24"/>
          <w:szCs w:val="24"/>
        </w:rPr>
        <w:t xml:space="preserve"> 3:</w:t>
      </w:r>
    </w:p>
    <w:p w14:paraId="596692E4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E0CB8" w14:textId="77777777" w:rsidR="00B06C2A" w:rsidRPr="003B631A" w:rsidRDefault="00B06C2A" w:rsidP="00B06C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31A">
        <w:rPr>
          <w:rFonts w:ascii="Times New Roman" w:hAnsi="Times New Roman" w:cs="Times New Roman"/>
          <w:b/>
          <w:bCs/>
          <w:sz w:val="24"/>
          <w:szCs w:val="24"/>
        </w:rPr>
        <w:t xml:space="preserve">OTHER INFORMATION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FOR ALL APPLICATIONS FOR A LICENCE TO CARRY ON </w:t>
      </w:r>
      <w:r w:rsidRPr="003B631A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FIRM BUSINESS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ACTIVITY</w:t>
      </w:r>
    </w:p>
    <w:p w14:paraId="4EDACB28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B08EFB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Applicant:</w:t>
      </w:r>
    </w:p>
    <w:p w14:paraId="2269F7AC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B06C2A" w14:paraId="37CC51BF" w14:textId="77777777" w:rsidTr="00034D79">
        <w:trPr>
          <w:trHeight w:val="666"/>
        </w:trPr>
        <w:tc>
          <w:tcPr>
            <w:tcW w:w="9207" w:type="dxa"/>
          </w:tcPr>
          <w:p w14:paraId="564F35B5" w14:textId="77777777" w:rsidR="00B06C2A" w:rsidRDefault="00B06C2A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8E2EE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D6966F" w14:textId="77777777" w:rsidR="00B06C2A" w:rsidRDefault="00B06C2A" w:rsidP="00B06C2A">
      <w:pPr>
        <w:pStyle w:val="NoSpacing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D1419">
        <w:rPr>
          <w:rFonts w:ascii="Times New Roman" w:hAnsi="Times New Roman" w:cs="Times New Roman"/>
          <w:sz w:val="24"/>
          <w:szCs w:val="24"/>
        </w:rPr>
        <w:t xml:space="preserve">Please tick all relevant boxes below to describe the type of financial services business </w:t>
      </w:r>
      <w:r>
        <w:rPr>
          <w:rFonts w:ascii="Times New Roman" w:hAnsi="Times New Roman" w:cs="Times New Roman"/>
          <w:sz w:val="24"/>
          <w:szCs w:val="24"/>
        </w:rPr>
        <w:t xml:space="preserve">(“FFB”) </w:t>
      </w:r>
      <w:r w:rsidRPr="002D1419">
        <w:rPr>
          <w:rFonts w:ascii="Times New Roman" w:hAnsi="Times New Roman" w:cs="Times New Roman"/>
          <w:sz w:val="24"/>
          <w:szCs w:val="24"/>
        </w:rPr>
        <w:t>carried out or to be carried out:</w:t>
      </w:r>
    </w:p>
    <w:p w14:paraId="6155EF39" w14:textId="77777777" w:rsidR="00B06C2A" w:rsidRPr="002D1419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119" w:type="dxa"/>
        </w:tblCellMar>
        <w:tblLook w:val="04A0" w:firstRow="1" w:lastRow="0" w:firstColumn="1" w:lastColumn="0" w:noHBand="0" w:noVBand="1"/>
      </w:tblPr>
      <w:tblGrid>
        <w:gridCol w:w="8789"/>
        <w:gridCol w:w="391"/>
        <w:gridCol w:w="19"/>
      </w:tblGrid>
      <w:tr w:rsidR="00B06C2A" w14:paraId="31B19D1D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38C741D0" w14:textId="77777777" w:rsidR="00B06C2A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99973020"/>
            <w:r w:rsidRPr="00C116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Lending (including, without limitation, the provision of consumer credit or mortgage credit, factoring with or without recourse, financing of commercial transactions (including forfeiting) and advancing loans against cheques)</w:t>
            </w:r>
          </w:p>
          <w:p w14:paraId="4F3495D0" w14:textId="77777777" w:rsidR="00B06C2A" w:rsidRPr="001F1BE1" w:rsidRDefault="00B06C2A" w:rsidP="00034D7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26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2F6430D1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2F537C57" w14:textId="77777777" w:rsidTr="00034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bottom w:w="0" w:type="dxa"/>
          </w:tblCellMar>
        </w:tblPrEx>
        <w:trPr>
          <w:trHeight w:val="1101"/>
        </w:trPr>
        <w:tc>
          <w:tcPr>
            <w:tcW w:w="9199" w:type="dxa"/>
            <w:gridSpan w:val="3"/>
            <w:shd w:val="clear" w:color="auto" w:fill="D9E2F3" w:themeFill="accent1" w:themeFillTint="33"/>
          </w:tcPr>
          <w:p w14:paraId="05E53D8D" w14:textId="77777777" w:rsidR="00B06C2A" w:rsidRPr="000C1EE4" w:rsidRDefault="00B06C2A" w:rsidP="00034D7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“Lending” here refers only to lending that is </w:t>
            </w:r>
            <w:r w:rsidRPr="00CD4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conducted in relation to regulated agreements. 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“Regulated agreements” are defined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ection 6(1) of </w:t>
            </w:r>
            <w:r w:rsidRPr="00EB1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Lending, Credit and Finance (Bailiwick of Guernsey) Law, 2022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 (the “Law”):</w:t>
            </w:r>
          </w:p>
          <w:p w14:paraId="4676FFCC" w14:textId="77777777" w:rsidR="00B06C2A" w:rsidRPr="000C1EE4" w:rsidRDefault="00B06C2A" w:rsidP="00034D7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>A regulated 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one 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>made by or on behalf of, and between –</w:t>
            </w:r>
          </w:p>
          <w:p w14:paraId="5E400A14" w14:textId="77777777" w:rsidR="00B06C2A" w:rsidRPr="000C1EE4" w:rsidRDefault="00B06C2A" w:rsidP="00B06C2A">
            <w:pPr>
              <w:numPr>
                <w:ilvl w:val="0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>a provider of credit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A4646F">
              <w:rPr>
                <w:rFonts w:ascii="Times New Roman" w:hAnsi="Times New Roman" w:cs="Times New Roman"/>
                <w:sz w:val="24"/>
                <w:szCs w:val="24"/>
              </w:rPr>
              <w:t>a customer who is an individual acting for purposes wholly or mainly outside that individual’s trade, business or profession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whereby credit is </w:t>
            </w:r>
            <w:proofErr w:type="gramStart"/>
            <w:r w:rsidRPr="000C1EE4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gramEnd"/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 and interest or other charges may be levied on the customer, or</w:t>
            </w:r>
          </w:p>
          <w:p w14:paraId="59CF7A5B" w14:textId="77777777" w:rsidR="00B06C2A" w:rsidRPr="000C1EE4" w:rsidRDefault="00B06C2A" w:rsidP="00B06C2A">
            <w:pPr>
              <w:numPr>
                <w:ilvl w:val="0"/>
                <w:numId w:val="3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a provider of credit and any customer, whereby credit is </w:t>
            </w:r>
            <w:proofErr w:type="gramStart"/>
            <w:r w:rsidRPr="000C1EE4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gramEnd"/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 and interest or other charges may be levied on the customer and the credit is secured against real property situated in the Bailiwick and used for residential purposes.’</w:t>
            </w:r>
          </w:p>
          <w:p w14:paraId="0795CDC7" w14:textId="77777777" w:rsidR="00B06C2A" w:rsidRPr="000C1EE4" w:rsidRDefault="00B06C2A" w:rsidP="0003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012B" w14:textId="77777777" w:rsidR="00B06C2A" w:rsidRPr="000C1EE4" w:rsidRDefault="00B06C2A" w:rsidP="0003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>Where a firm provides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any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 credit arrangements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are regulated agreements,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credit provision (Part II) licence may instead be required;</w:t>
            </w:r>
            <w:r>
              <w:t xml:space="preserve"> p</w:t>
            </w:r>
            <w:r w:rsidRPr="007A620C">
              <w:rPr>
                <w:rFonts w:ascii="Times New Roman" w:hAnsi="Times New Roman" w:cs="Times New Roman"/>
                <w:sz w:val="24"/>
                <w:szCs w:val="24"/>
              </w:rPr>
              <w:t xml:space="preserve">lease check </w:t>
            </w:r>
            <w:r w:rsidRPr="00603E5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B208B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FAQs</w:t>
            </w:r>
            <w:r w:rsidRPr="00603E58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E6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credit provision</w:t>
            </w:r>
            <w:r w:rsidRPr="00E61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02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decision tree</w:t>
            </w:r>
            <w:r w:rsidRPr="00142302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20C">
              <w:rPr>
                <w:rFonts w:ascii="Times New Roman" w:hAnsi="Times New Roman" w:cs="Times New Roman"/>
                <w:sz w:val="24"/>
                <w:szCs w:val="24"/>
              </w:rPr>
              <w:t>to check whether your firm should instead apply under this licence type.</w:t>
            </w:r>
          </w:p>
          <w:p w14:paraId="49AD9919" w14:textId="77777777" w:rsidR="00B06C2A" w:rsidRPr="000C1EE4" w:rsidRDefault="00B06C2A" w:rsidP="0003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430E" w14:textId="77777777" w:rsidR="00B06C2A" w:rsidRDefault="00B06C2A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Please note that where a business provides credit under both regulated agreements and non-regulated agreements, only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redit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rovision (Part II) licence is required (i.e.,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inancial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irm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 xml:space="preserve">usiness licence is not required), as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C1EE4">
              <w:rPr>
                <w:rFonts w:ascii="Times New Roman" w:hAnsi="Times New Roman" w:cs="Times New Roman"/>
                <w:sz w:val="24"/>
                <w:szCs w:val="24"/>
              </w:rPr>
              <w:t>ection 1(2)(a) of Part 1 of Schedule 1 to the Law.</w:t>
            </w:r>
          </w:p>
          <w:p w14:paraId="143423F0" w14:textId="77777777" w:rsidR="00B06C2A" w:rsidRDefault="00B06C2A" w:rsidP="00034D7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C2A" w14:paraId="019DEFDA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30D5DA64" w14:textId="77777777" w:rsidR="00B06C2A" w:rsidRPr="001E2DF1" w:rsidRDefault="00B06C2A" w:rsidP="00034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27FE6E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leasing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1012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74587C1A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55FD945E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23074228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Operating a money service business (including, without limitation, a business providing money or value transmission services, currency exchange (bureau de change) and cheque cashing)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042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6881C8B4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2BAE0CCD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7C31BCC0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Buying, </w:t>
            </w:r>
            <w:proofErr w:type="gramStart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selling</w:t>
            </w:r>
            <w:proofErr w:type="gramEnd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arranging the buying or selling of, or otherwise dealing in, bullion or buying or selling postage stamps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699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1B231374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048C467D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4F2DEF23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Facilitating or transmitting money or value through an informal money or value transfer system or network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2616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303BE350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4CA9350A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1478D565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Issuing, redeeming, </w:t>
            </w:r>
            <w:proofErr w:type="gramStart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managing</w:t>
            </w:r>
            <w:proofErr w:type="gramEnd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administering means of payment; including, without limitation, credit, charge and debit cards, cheques, </w:t>
            </w:r>
            <w:proofErr w:type="spellStart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travellers'</w:t>
            </w:r>
            <w:proofErr w:type="spellEnd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cheques, money orders, bankers' drafts and electronic money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1548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7A9F4F11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7F156E66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12648FD6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Providing financial guarantees or commitments.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8453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36EEB7FE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49BD8A3F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74394B2B" w14:textId="77777777" w:rsidR="00B06C2A" w:rsidRPr="003F5758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Trading (by way of spot, forward, swaps, futures, options, etc.) in –</w:t>
            </w:r>
          </w:p>
          <w:p w14:paraId="5505A43C" w14:textId="77777777" w:rsidR="00B06C2A" w:rsidRPr="003F5758" w:rsidRDefault="00B06C2A" w:rsidP="00B06C2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money market instruments (including, without limitation, cheques, </w:t>
            </w:r>
            <w:proofErr w:type="gramStart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bills</w:t>
            </w:r>
            <w:proofErr w:type="gramEnd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certificates of deposit),</w:t>
            </w:r>
          </w:p>
          <w:p w14:paraId="547A7620" w14:textId="77777777" w:rsidR="00B06C2A" w:rsidRPr="003F5758" w:rsidRDefault="00B06C2A" w:rsidP="00B06C2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exchange, exchange, interest rate or index instruments, and</w:t>
            </w:r>
          </w:p>
          <w:p w14:paraId="79128BC7" w14:textId="77777777" w:rsidR="00B06C2A" w:rsidRPr="001F1BE1" w:rsidRDefault="00B06C2A" w:rsidP="00B06C2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commodity futures, transferable securities or other negotiable instruments or financial assets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3024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57894F8C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059060FF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076D6B4E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Participating in securities issues and the provision of financial services related to such issues, including, without limitation, underwriting or placement as agent (whether publicly or privately)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2644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0BBA4FB4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5A573DFA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0EE5B762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Providing settlement or clearing services for financial assets including, without limitation, securities, derivative </w:t>
            </w:r>
            <w:proofErr w:type="gramStart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products</w:t>
            </w:r>
            <w:proofErr w:type="gramEnd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other negotiable instruments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6115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1DB8EC8A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715E073D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5FF18379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Providing advice to undertakings on capital structure, industrial </w:t>
            </w:r>
            <w:proofErr w:type="gramStart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strategy</w:t>
            </w:r>
            <w:proofErr w:type="gramEnd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related questions, on mergers or the purchase of undertakings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0111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4F4DA920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2B76CF14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3F48AE77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 broking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3068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6259D615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447A4E98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07F2F7E1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 changing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1830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0F1C1C67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6FC16D42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2325F962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Providing individual or collective portfolio management services or advice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1689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02DCE81E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4BF7444A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6A897D2E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Providing safe custody services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5771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37943663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2CB8E6E0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680399EE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Providing services for the safekeeping or administration of cash or liquid securities on behalf of customers or clients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0335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6D353180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793217A2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4C7DDE17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Carrying on the business of a credit union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0805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13BDF379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2ACD3489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11C1A847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Accepting repayable funds other than deposits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0860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1" w:type="dxa"/>
                <w:vAlign w:val="center"/>
              </w:tcPr>
              <w:p w14:paraId="4D615A2C" w14:textId="77777777" w:rsidR="00B06C2A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06C2A" w14:paraId="3A8EA3F0" w14:textId="77777777" w:rsidTr="00034D79">
        <w:trPr>
          <w:gridAfter w:val="1"/>
          <w:wAfter w:w="19" w:type="dxa"/>
        </w:trPr>
        <w:tc>
          <w:tcPr>
            <w:tcW w:w="8789" w:type="dxa"/>
          </w:tcPr>
          <w:p w14:paraId="1D652A7D" w14:textId="77777777" w:rsidR="00B06C2A" w:rsidRPr="001F1BE1" w:rsidRDefault="00B06C2A" w:rsidP="00B06C2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Otherwise investing, </w:t>
            </w:r>
            <w:proofErr w:type="gramStart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administering</w:t>
            </w:r>
            <w:proofErr w:type="gramEnd"/>
            <w:r w:rsidRPr="003F5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managing funds or money on behalf of other persons</w:t>
            </w:r>
          </w:p>
        </w:tc>
        <w:tc>
          <w:tcPr>
            <w:tcW w:w="391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95972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1BB229" w14:textId="77777777" w:rsidR="00B06C2A" w:rsidRPr="00F36C62" w:rsidRDefault="00B06C2A" w:rsidP="00034D79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0"/>
    </w:tbl>
    <w:p w14:paraId="0D340E40" w14:textId="77777777" w:rsidR="00B06C2A" w:rsidRDefault="00B06C2A" w:rsidP="00B06C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86EB2B9" w14:textId="77777777" w:rsidR="00B06C2A" w:rsidRDefault="00B06C2A" w:rsidP="00B06C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49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QUESTIONS TO ANNEX </w:t>
      </w:r>
      <w:r>
        <w:rPr>
          <w:rFonts w:ascii="Times New Roman" w:hAnsi="Times New Roman" w:cs="Times New Roman"/>
          <w:b/>
          <w:bCs/>
          <w:sz w:val="24"/>
          <w:szCs w:val="24"/>
        </w:rPr>
        <w:t>3 (</w:t>
      </w:r>
      <w:r w:rsidRPr="00CF4D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 existing firms only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249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CB60DC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Pr="00AD2DD3">
        <w:rPr>
          <w:rFonts w:ascii="Times New Roman" w:hAnsi="Times New Roman" w:cs="Times New Roman"/>
          <w:b/>
          <w:bCs/>
          <w:sz w:val="24"/>
          <w:szCs w:val="24"/>
        </w:rPr>
        <w:t>ALL APPLICANTS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APPLYING FOR A LICENCE TO CARRY ON </w:t>
      </w:r>
      <w:r w:rsidRPr="00221B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FINANCIAL FIRM BUSINESS </w:t>
      </w:r>
      <w:r>
        <w:rPr>
          <w:rFonts w:ascii="Times New Roman" w:hAnsi="Times New Roman" w:cs="Times New Roman"/>
          <w:b/>
          <w:bCs/>
          <w:sz w:val="24"/>
          <w:szCs w:val="24"/>
        </w:rPr>
        <w:t>ACTIVITY</w:t>
      </w:r>
    </w:p>
    <w:p w14:paraId="0A4FC938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388DC3" w14:textId="1067D1DB" w:rsidR="00B06C2A" w:rsidRPr="001E694E" w:rsidRDefault="00B06C2A" w:rsidP="00BA688C">
      <w:pPr>
        <w:pStyle w:val="NoSpacing"/>
        <w:numPr>
          <w:ilvl w:val="0"/>
          <w:numId w:val="5"/>
        </w:numPr>
        <w:ind w:left="0" w:hanging="50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0649544"/>
      <w:bookmarkStart w:id="2" w:name="_Hlk98751465"/>
      <w:r w:rsidRPr="001E694E">
        <w:rPr>
          <w:rFonts w:ascii="Times New Roman" w:hAnsi="Times New Roman" w:cs="Times New Roman"/>
          <w:sz w:val="24"/>
          <w:szCs w:val="24"/>
        </w:rPr>
        <w:t xml:space="preserve">Number of customers </w:t>
      </w:r>
      <w:r w:rsidR="00F96F52">
        <w:rPr>
          <w:rFonts w:ascii="Times New Roman" w:hAnsi="Times New Roman" w:cs="Times New Roman"/>
          <w:sz w:val="24"/>
          <w:szCs w:val="24"/>
        </w:rPr>
        <w:t xml:space="preserve">and gross income </w:t>
      </w:r>
      <w:r w:rsidRPr="001E694E">
        <w:rPr>
          <w:rFonts w:ascii="Times New Roman" w:hAnsi="Times New Roman" w:cs="Times New Roman"/>
          <w:sz w:val="24"/>
          <w:szCs w:val="24"/>
        </w:rPr>
        <w:t xml:space="preserve">per FFB activity type as </w:t>
      </w:r>
      <w:proofErr w:type="gramStart"/>
      <w:r w:rsidRPr="001E694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1E694E">
        <w:rPr>
          <w:rFonts w:ascii="Times New Roman" w:hAnsi="Times New Roman" w:cs="Times New Roman"/>
          <w:sz w:val="24"/>
          <w:szCs w:val="24"/>
        </w:rPr>
        <w:t xml:space="preserve"> 31 December 2022:</w:t>
      </w:r>
    </w:p>
    <w:bookmarkEnd w:id="1"/>
    <w:p w14:paraId="7CA31BDF" w14:textId="77777777" w:rsidR="00B06C2A" w:rsidRPr="001F1BE1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56" w:type="dxa"/>
        <w:tblLook w:val="04A0" w:firstRow="1" w:lastRow="0" w:firstColumn="1" w:lastColumn="0" w:noHBand="0" w:noVBand="1"/>
      </w:tblPr>
      <w:tblGrid>
        <w:gridCol w:w="2800"/>
        <w:gridCol w:w="3178"/>
        <w:gridCol w:w="3178"/>
      </w:tblGrid>
      <w:tr w:rsidR="00B06C2A" w:rsidRPr="00417B64" w14:paraId="5B860EC8" w14:textId="77777777" w:rsidTr="00034D79">
        <w:trPr>
          <w:trHeight w:val="576"/>
        </w:trPr>
        <w:tc>
          <w:tcPr>
            <w:tcW w:w="2800" w:type="dxa"/>
          </w:tcPr>
          <w:p w14:paraId="18713665" w14:textId="77777777" w:rsidR="00B06C2A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FFB activity:</w:t>
            </w:r>
          </w:p>
          <w:p w14:paraId="4A40883F" w14:textId="77777777" w:rsidR="00B06C2A" w:rsidRPr="00C74C8C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28B7C4A3" w14:textId="77777777" w:rsidR="00B06C2A" w:rsidRPr="00C74C8C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customers:</w:t>
            </w:r>
          </w:p>
        </w:tc>
        <w:tc>
          <w:tcPr>
            <w:tcW w:w="3178" w:type="dxa"/>
          </w:tcPr>
          <w:p w14:paraId="2CFF5C56" w14:textId="77777777" w:rsidR="00B06C2A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income (£):</w:t>
            </w:r>
          </w:p>
        </w:tc>
      </w:tr>
      <w:tr w:rsidR="00B06C2A" w:rsidRPr="00417B64" w14:paraId="6FC3A514" w14:textId="77777777" w:rsidTr="00034D79">
        <w:trPr>
          <w:trHeight w:val="609"/>
        </w:trPr>
        <w:tc>
          <w:tcPr>
            <w:tcW w:w="2800" w:type="dxa"/>
          </w:tcPr>
          <w:p w14:paraId="40F1E9B2" w14:textId="77777777" w:rsidR="00B06C2A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F1FBE" w14:textId="77777777" w:rsidR="00B06C2A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429179D7" w14:textId="77777777" w:rsidR="00B06C2A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C0153" w14:textId="77777777" w:rsidR="00B06C2A" w:rsidRPr="00C74C8C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14:paraId="1BCBAD4A" w14:textId="77777777" w:rsidR="00B06C2A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FA0EF1F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023FAC" w14:textId="169ADBEA" w:rsidR="00B06C2A" w:rsidRPr="00B04951" w:rsidRDefault="00833277" w:rsidP="00B06C2A">
      <w:pPr>
        <w:pStyle w:val="NoSpacing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9986595"/>
      <w:r>
        <w:rPr>
          <w:rFonts w:ascii="Times New Roman" w:hAnsi="Times New Roman" w:cs="Times New Roman"/>
          <w:sz w:val="24"/>
          <w:szCs w:val="24"/>
        </w:rPr>
        <w:t>W</w:t>
      </w:r>
      <w:r w:rsidR="00B06C2A">
        <w:rPr>
          <w:rFonts w:ascii="Times New Roman" w:hAnsi="Times New Roman" w:cs="Times New Roman"/>
          <w:sz w:val="24"/>
          <w:szCs w:val="24"/>
        </w:rPr>
        <w:t xml:space="preserve">here the Applicant provides </w:t>
      </w:r>
      <w:r>
        <w:rPr>
          <w:rFonts w:ascii="Times New Roman" w:hAnsi="Times New Roman" w:cs="Times New Roman"/>
          <w:sz w:val="24"/>
          <w:szCs w:val="24"/>
        </w:rPr>
        <w:t xml:space="preserve">commercial </w:t>
      </w:r>
      <w:r w:rsidR="00B06C2A">
        <w:rPr>
          <w:rFonts w:ascii="Times New Roman" w:hAnsi="Times New Roman" w:cs="Times New Roman"/>
          <w:sz w:val="24"/>
          <w:szCs w:val="24"/>
        </w:rPr>
        <w:t>lending</w:t>
      </w:r>
      <w:r w:rsidR="00B06C2A" w:rsidRPr="00B04951">
        <w:rPr>
          <w:rFonts w:ascii="Times New Roman" w:hAnsi="Times New Roman" w:cs="Times New Roman"/>
          <w:sz w:val="24"/>
          <w:szCs w:val="24"/>
        </w:rPr>
        <w:t>, v</w:t>
      </w:r>
      <w:r w:rsidR="00B06C2A" w:rsidRPr="0061127E">
        <w:rPr>
          <w:rFonts w:ascii="Times New Roman" w:hAnsi="Times New Roman" w:cs="Times New Roman"/>
          <w:sz w:val="24"/>
          <w:szCs w:val="24"/>
        </w:rPr>
        <w:t xml:space="preserve">alue of </w:t>
      </w:r>
      <w:r w:rsidR="002C416E">
        <w:rPr>
          <w:rFonts w:ascii="Times New Roman" w:hAnsi="Times New Roman" w:cs="Times New Roman"/>
          <w:sz w:val="24"/>
          <w:szCs w:val="24"/>
        </w:rPr>
        <w:t xml:space="preserve">the </w:t>
      </w:r>
      <w:r w:rsidR="00B06C2A" w:rsidRPr="0061127E">
        <w:rPr>
          <w:rFonts w:ascii="Times New Roman" w:hAnsi="Times New Roman" w:cs="Times New Roman"/>
          <w:sz w:val="24"/>
          <w:szCs w:val="24"/>
        </w:rPr>
        <w:t xml:space="preserve">loan/credit book as </w:t>
      </w:r>
      <w:proofErr w:type="gramStart"/>
      <w:r w:rsidR="00B06C2A" w:rsidRPr="0061127E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B06C2A" w:rsidRPr="0061127E">
        <w:rPr>
          <w:rFonts w:ascii="Times New Roman" w:hAnsi="Times New Roman" w:cs="Times New Roman"/>
          <w:sz w:val="24"/>
          <w:szCs w:val="24"/>
        </w:rPr>
        <w:t xml:space="preserve"> 31 December 2022:</w:t>
      </w:r>
    </w:p>
    <w:p w14:paraId="1D5160EF" w14:textId="77777777" w:rsidR="00B06C2A" w:rsidRPr="002F62B0" w:rsidRDefault="00B06C2A" w:rsidP="00B06C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B06C2A" w:rsidRPr="006D4722" w14:paraId="6A76143A" w14:textId="77777777" w:rsidTr="00034D79">
        <w:trPr>
          <w:trHeight w:val="724"/>
        </w:trPr>
        <w:tc>
          <w:tcPr>
            <w:tcW w:w="9207" w:type="dxa"/>
          </w:tcPr>
          <w:p w14:paraId="5600742F" w14:textId="77777777" w:rsidR="00B06C2A" w:rsidRPr="00C74C8C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2D727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534C417" w14:textId="77777777" w:rsidR="00B06C2A" w:rsidRDefault="00B06C2A" w:rsidP="00B06C2A">
      <w:pPr>
        <w:pStyle w:val="NoSpacing"/>
        <w:numPr>
          <w:ilvl w:val="0"/>
          <w:numId w:val="2"/>
        </w:numPr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complaints received in the course of FFB activity </w:t>
      </w:r>
      <w:r w:rsidRPr="00796E6F">
        <w:rPr>
          <w:rFonts w:ascii="Times New Roman" w:hAnsi="Times New Roman" w:cs="Times New Roman"/>
          <w:sz w:val="24"/>
          <w:szCs w:val="24"/>
        </w:rPr>
        <w:t>during the year</w:t>
      </w:r>
      <w:r>
        <w:rPr>
          <w:rFonts w:ascii="Times New Roman" w:hAnsi="Times New Roman" w:cs="Times New Roman"/>
          <w:sz w:val="24"/>
          <w:szCs w:val="24"/>
        </w:rPr>
        <w:t xml:space="preserve"> ending 31 December 2022</w:t>
      </w:r>
      <w:r w:rsidRPr="00C74C8C">
        <w:rPr>
          <w:rFonts w:ascii="Times New Roman" w:hAnsi="Times New Roman" w:cs="Times New Roman"/>
          <w:sz w:val="24"/>
          <w:szCs w:val="24"/>
        </w:rPr>
        <w:t>:</w:t>
      </w:r>
    </w:p>
    <w:p w14:paraId="645386C9" w14:textId="77777777" w:rsidR="00B06C2A" w:rsidRPr="00C74C8C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4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B06C2A" w:rsidRPr="006D4722" w14:paraId="488B8483" w14:textId="77777777" w:rsidTr="00034D79">
        <w:trPr>
          <w:trHeight w:val="724"/>
        </w:trPr>
        <w:tc>
          <w:tcPr>
            <w:tcW w:w="9207" w:type="dxa"/>
          </w:tcPr>
          <w:p w14:paraId="7366C474" w14:textId="77777777" w:rsidR="00B06C2A" w:rsidRPr="00C74C8C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0649850"/>
          </w:p>
        </w:tc>
      </w:tr>
      <w:bookmarkEnd w:id="4"/>
    </w:tbl>
    <w:p w14:paraId="2B675E7F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A0FDDC" w14:textId="77777777" w:rsidR="00B06C2A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these, how many were considered “significant complaints”</w:t>
      </w:r>
      <w:r w:rsidRPr="00CD250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Please provide a brief explanation of the nature of these complaints:</w:t>
      </w:r>
    </w:p>
    <w:p w14:paraId="3637C4F4" w14:textId="77777777" w:rsidR="00B06C2A" w:rsidRPr="00C74C8C" w:rsidRDefault="00B06C2A" w:rsidP="00B06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B06C2A" w:rsidRPr="006D4722" w14:paraId="485D681C" w14:textId="77777777" w:rsidTr="00034D79">
        <w:trPr>
          <w:trHeight w:val="724"/>
        </w:trPr>
        <w:tc>
          <w:tcPr>
            <w:tcW w:w="9207" w:type="dxa"/>
          </w:tcPr>
          <w:p w14:paraId="148B8AED" w14:textId="77777777" w:rsidR="00B06C2A" w:rsidRPr="00C74C8C" w:rsidRDefault="00B06C2A" w:rsidP="00034D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14E12" w14:textId="77777777" w:rsidR="00B06C2A" w:rsidRDefault="00B06C2A" w:rsidP="00B06C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06C2A" w:rsidRPr="00133D18" w14:paraId="3CAC1ECA" w14:textId="77777777" w:rsidTr="00034D79">
        <w:trPr>
          <w:trHeight w:val="70"/>
        </w:trPr>
        <w:tc>
          <w:tcPr>
            <w:tcW w:w="9209" w:type="dxa"/>
            <w:shd w:val="clear" w:color="auto" w:fill="D9E2F3" w:themeFill="accent1" w:themeFillTint="33"/>
          </w:tcPr>
          <w:p w14:paraId="1C1CCEAD" w14:textId="77777777" w:rsidR="00B06C2A" w:rsidRDefault="00B06C2A" w:rsidP="00034D79">
            <w:pPr>
              <w:pStyle w:val="NoSpacing"/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Going forward, a significant complaint will be defined as 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 xml:space="preserve">a complaint alleging a breach of the Law, </w:t>
            </w:r>
            <w:r w:rsidRPr="005A524A">
              <w:rPr>
                <w:rFonts w:ascii="Times New Roman" w:hAnsi="Times New Roman" w:cs="Times New Roman"/>
                <w:iCs/>
                <w:sz w:val="24"/>
                <w:szCs w:val="24"/>
              </w:rPr>
              <w:t>bad faith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>, malpractice, impropriety, or repetition or recurrence of a matter previously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>complained of, whether significant or otherwise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 xml:space="preserve">as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B53F8">
              <w:rPr>
                <w:rFonts w:ascii="Times New Roman" w:hAnsi="Times New Roman" w:cs="Times New Roman"/>
                <w:sz w:val="24"/>
                <w:szCs w:val="24"/>
              </w:rPr>
              <w:t>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13.1 [Interpretation] of </w:t>
            </w:r>
            <w:r w:rsidRPr="00C348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Lending, Credit and Finance Rules and Guidance, 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  <w:p w14:paraId="183176ED" w14:textId="77777777" w:rsidR="00B06C2A" w:rsidRPr="00133D18" w:rsidRDefault="00B06C2A" w:rsidP="00034D79">
            <w:pPr>
              <w:pStyle w:val="NoSpacing"/>
              <w:tabs>
                <w:tab w:val="left" w:pos="21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C2A69" w14:textId="77777777" w:rsidR="00495FC9" w:rsidRDefault="00495FC9"/>
    <w:sectPr w:rsidR="00495FC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6E4E" w14:textId="77777777" w:rsidR="009F632E" w:rsidRDefault="009F632E" w:rsidP="00B06C2A">
      <w:pPr>
        <w:spacing w:after="0" w:line="240" w:lineRule="auto"/>
      </w:pPr>
      <w:r>
        <w:separator/>
      </w:r>
    </w:p>
  </w:endnote>
  <w:endnote w:type="continuationSeparator" w:id="0">
    <w:p w14:paraId="5FA1111C" w14:textId="77777777" w:rsidR="009F632E" w:rsidRDefault="009F632E" w:rsidP="00B0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9734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780006" w14:textId="063DEBC2" w:rsidR="00B06C2A" w:rsidRDefault="00B06C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3D780" w14:textId="77777777" w:rsidR="00B06C2A" w:rsidRDefault="00B06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D6E8" w14:textId="77777777" w:rsidR="009F632E" w:rsidRDefault="009F632E" w:rsidP="00B06C2A">
      <w:pPr>
        <w:spacing w:after="0" w:line="240" w:lineRule="auto"/>
      </w:pPr>
      <w:r>
        <w:separator/>
      </w:r>
    </w:p>
  </w:footnote>
  <w:footnote w:type="continuationSeparator" w:id="0">
    <w:p w14:paraId="3D1EACF7" w14:textId="77777777" w:rsidR="009F632E" w:rsidRDefault="009F632E" w:rsidP="00B0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FAE8" w14:textId="0F802B2D" w:rsidR="00B06C2A" w:rsidRDefault="00B06C2A" w:rsidP="00B06C2A">
    <w:pPr>
      <w:pStyle w:val="Title"/>
      <w:pBdr>
        <w:bottom w:val="single" w:sz="18" w:space="1" w:color="auto"/>
      </w:pBdr>
      <w:jc w:val="right"/>
      <w:rPr>
        <w:rFonts w:ascii="Times New Roman" w:hAnsi="Times New Roman" w:cs="Times New Roman"/>
        <w:smallCaps/>
      </w:rPr>
    </w:pPr>
    <w:r>
      <w:rPr>
        <w:rFonts w:ascii="Times New Roman" w:hAnsi="Times New Roman" w:cs="Times New Roman"/>
        <w:smallCaps/>
      </w:rPr>
      <w:t>Form LCF ANNEX 3 (2023)</w:t>
    </w:r>
  </w:p>
  <w:p w14:paraId="7E38A4D2" w14:textId="77777777" w:rsidR="00B06C2A" w:rsidRDefault="00B06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6DA"/>
    <w:multiLevelType w:val="hybridMultilevel"/>
    <w:tmpl w:val="9842C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1EA5"/>
    <w:multiLevelType w:val="hybridMultilevel"/>
    <w:tmpl w:val="5A028D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7D3CFE"/>
    <w:multiLevelType w:val="hybridMultilevel"/>
    <w:tmpl w:val="353C865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86B71"/>
    <w:multiLevelType w:val="hybridMultilevel"/>
    <w:tmpl w:val="2638856C"/>
    <w:lvl w:ilvl="0" w:tplc="EB32659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C95666"/>
    <w:multiLevelType w:val="hybridMultilevel"/>
    <w:tmpl w:val="664E5B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925736">
    <w:abstractNumId w:val="4"/>
  </w:num>
  <w:num w:numId="2" w16cid:durableId="1106848143">
    <w:abstractNumId w:val="1"/>
  </w:num>
  <w:num w:numId="3" w16cid:durableId="22630928">
    <w:abstractNumId w:val="2"/>
  </w:num>
  <w:num w:numId="4" w16cid:durableId="2039427767">
    <w:abstractNumId w:val="3"/>
  </w:num>
  <w:num w:numId="5" w16cid:durableId="28790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2A"/>
    <w:rsid w:val="00000BE1"/>
    <w:rsid w:val="00001C2F"/>
    <w:rsid w:val="00003038"/>
    <w:rsid w:val="000034B5"/>
    <w:rsid w:val="000056CA"/>
    <w:rsid w:val="000112C8"/>
    <w:rsid w:val="000119A5"/>
    <w:rsid w:val="00011F43"/>
    <w:rsid w:val="000160D8"/>
    <w:rsid w:val="00017747"/>
    <w:rsid w:val="00017862"/>
    <w:rsid w:val="00020281"/>
    <w:rsid w:val="00020563"/>
    <w:rsid w:val="00023F25"/>
    <w:rsid w:val="00032CA3"/>
    <w:rsid w:val="000330B5"/>
    <w:rsid w:val="00034420"/>
    <w:rsid w:val="000349AE"/>
    <w:rsid w:val="0003767D"/>
    <w:rsid w:val="00040FC8"/>
    <w:rsid w:val="0004322B"/>
    <w:rsid w:val="00043C7A"/>
    <w:rsid w:val="00044654"/>
    <w:rsid w:val="00044BAA"/>
    <w:rsid w:val="000471B6"/>
    <w:rsid w:val="00051F19"/>
    <w:rsid w:val="00053B2B"/>
    <w:rsid w:val="00054D64"/>
    <w:rsid w:val="0006018C"/>
    <w:rsid w:val="00071003"/>
    <w:rsid w:val="000733C2"/>
    <w:rsid w:val="00076F6E"/>
    <w:rsid w:val="00077293"/>
    <w:rsid w:val="0008055B"/>
    <w:rsid w:val="00081074"/>
    <w:rsid w:val="00083E0F"/>
    <w:rsid w:val="000862BC"/>
    <w:rsid w:val="000863F6"/>
    <w:rsid w:val="000878A2"/>
    <w:rsid w:val="00097548"/>
    <w:rsid w:val="00097902"/>
    <w:rsid w:val="000A168C"/>
    <w:rsid w:val="000A4188"/>
    <w:rsid w:val="000B1FC5"/>
    <w:rsid w:val="000B3A3D"/>
    <w:rsid w:val="000B4E1C"/>
    <w:rsid w:val="000B556A"/>
    <w:rsid w:val="000B7F09"/>
    <w:rsid w:val="000C6BFB"/>
    <w:rsid w:val="000C7154"/>
    <w:rsid w:val="000D03BD"/>
    <w:rsid w:val="000D09E2"/>
    <w:rsid w:val="000D0AFF"/>
    <w:rsid w:val="000D1DA1"/>
    <w:rsid w:val="000D1F45"/>
    <w:rsid w:val="000D20A8"/>
    <w:rsid w:val="000D6972"/>
    <w:rsid w:val="000D6AB9"/>
    <w:rsid w:val="000E4515"/>
    <w:rsid w:val="000E488F"/>
    <w:rsid w:val="000E50B5"/>
    <w:rsid w:val="000E5F39"/>
    <w:rsid w:val="000E600F"/>
    <w:rsid w:val="000F4820"/>
    <w:rsid w:val="001031B5"/>
    <w:rsid w:val="0011118E"/>
    <w:rsid w:val="00111E08"/>
    <w:rsid w:val="001139CA"/>
    <w:rsid w:val="001164F5"/>
    <w:rsid w:val="0012634D"/>
    <w:rsid w:val="0012665A"/>
    <w:rsid w:val="00127638"/>
    <w:rsid w:val="00130B38"/>
    <w:rsid w:val="00131ABF"/>
    <w:rsid w:val="0013229C"/>
    <w:rsid w:val="00132FE5"/>
    <w:rsid w:val="00140D2A"/>
    <w:rsid w:val="00145CCD"/>
    <w:rsid w:val="00146632"/>
    <w:rsid w:val="0015154F"/>
    <w:rsid w:val="0015497C"/>
    <w:rsid w:val="00155686"/>
    <w:rsid w:val="00160BC1"/>
    <w:rsid w:val="00160DAF"/>
    <w:rsid w:val="00161B95"/>
    <w:rsid w:val="00163A2E"/>
    <w:rsid w:val="00174BBD"/>
    <w:rsid w:val="001752EB"/>
    <w:rsid w:val="00175CFD"/>
    <w:rsid w:val="00181B0E"/>
    <w:rsid w:val="001838B6"/>
    <w:rsid w:val="001871A2"/>
    <w:rsid w:val="0018752C"/>
    <w:rsid w:val="00187BF0"/>
    <w:rsid w:val="00187C5A"/>
    <w:rsid w:val="00190D73"/>
    <w:rsid w:val="0019310C"/>
    <w:rsid w:val="001945A1"/>
    <w:rsid w:val="00194653"/>
    <w:rsid w:val="00196D72"/>
    <w:rsid w:val="001A14BA"/>
    <w:rsid w:val="001A4E8B"/>
    <w:rsid w:val="001A5263"/>
    <w:rsid w:val="001A5C6A"/>
    <w:rsid w:val="001A6306"/>
    <w:rsid w:val="001B385F"/>
    <w:rsid w:val="001B55B1"/>
    <w:rsid w:val="001B5D2A"/>
    <w:rsid w:val="001B5EA0"/>
    <w:rsid w:val="001B75DD"/>
    <w:rsid w:val="001C1CE4"/>
    <w:rsid w:val="001C2492"/>
    <w:rsid w:val="001C34FA"/>
    <w:rsid w:val="001C387D"/>
    <w:rsid w:val="001C4F3D"/>
    <w:rsid w:val="001D6DE6"/>
    <w:rsid w:val="001D7670"/>
    <w:rsid w:val="001E15B7"/>
    <w:rsid w:val="001E28CA"/>
    <w:rsid w:val="001E39CD"/>
    <w:rsid w:val="001E5DE4"/>
    <w:rsid w:val="001F1C71"/>
    <w:rsid w:val="001F3FA0"/>
    <w:rsid w:val="001F4A9B"/>
    <w:rsid w:val="001F53C0"/>
    <w:rsid w:val="001F593C"/>
    <w:rsid w:val="001F61FB"/>
    <w:rsid w:val="0020220C"/>
    <w:rsid w:val="00205061"/>
    <w:rsid w:val="00205B47"/>
    <w:rsid w:val="00206EBC"/>
    <w:rsid w:val="002078F6"/>
    <w:rsid w:val="00211E74"/>
    <w:rsid w:val="00211FA7"/>
    <w:rsid w:val="00212EA6"/>
    <w:rsid w:val="002136D7"/>
    <w:rsid w:val="00214A2B"/>
    <w:rsid w:val="002153BB"/>
    <w:rsid w:val="00217B04"/>
    <w:rsid w:val="002206FE"/>
    <w:rsid w:val="002217E1"/>
    <w:rsid w:val="0022530B"/>
    <w:rsid w:val="0023074E"/>
    <w:rsid w:val="002331B7"/>
    <w:rsid w:val="00233228"/>
    <w:rsid w:val="00235E89"/>
    <w:rsid w:val="002360BD"/>
    <w:rsid w:val="0024691A"/>
    <w:rsid w:val="00247647"/>
    <w:rsid w:val="002479DB"/>
    <w:rsid w:val="002504EE"/>
    <w:rsid w:val="002566A1"/>
    <w:rsid w:val="00262CE6"/>
    <w:rsid w:val="0026689E"/>
    <w:rsid w:val="00266C6A"/>
    <w:rsid w:val="002745FA"/>
    <w:rsid w:val="002748D1"/>
    <w:rsid w:val="0028285E"/>
    <w:rsid w:val="00282A81"/>
    <w:rsid w:val="00292E07"/>
    <w:rsid w:val="002949F2"/>
    <w:rsid w:val="00295046"/>
    <w:rsid w:val="00297344"/>
    <w:rsid w:val="002A1B2D"/>
    <w:rsid w:val="002A3278"/>
    <w:rsid w:val="002A413A"/>
    <w:rsid w:val="002A4B9B"/>
    <w:rsid w:val="002A50CF"/>
    <w:rsid w:val="002A74E0"/>
    <w:rsid w:val="002B6B62"/>
    <w:rsid w:val="002C108F"/>
    <w:rsid w:val="002C1B3F"/>
    <w:rsid w:val="002C1FC1"/>
    <w:rsid w:val="002C2052"/>
    <w:rsid w:val="002C2CFA"/>
    <w:rsid w:val="002C2DF6"/>
    <w:rsid w:val="002C416E"/>
    <w:rsid w:val="002C55A1"/>
    <w:rsid w:val="002C773A"/>
    <w:rsid w:val="002C783C"/>
    <w:rsid w:val="002E272A"/>
    <w:rsid w:val="002E42FD"/>
    <w:rsid w:val="002E4707"/>
    <w:rsid w:val="002E53D3"/>
    <w:rsid w:val="002F34A6"/>
    <w:rsid w:val="002F79FA"/>
    <w:rsid w:val="002F7E92"/>
    <w:rsid w:val="00303585"/>
    <w:rsid w:val="00303DB9"/>
    <w:rsid w:val="00304DF2"/>
    <w:rsid w:val="003057E6"/>
    <w:rsid w:val="003069CD"/>
    <w:rsid w:val="003103D2"/>
    <w:rsid w:val="00313961"/>
    <w:rsid w:val="0031490A"/>
    <w:rsid w:val="003151F5"/>
    <w:rsid w:val="003153DE"/>
    <w:rsid w:val="00317BE9"/>
    <w:rsid w:val="00332860"/>
    <w:rsid w:val="00334F1A"/>
    <w:rsid w:val="00340EE9"/>
    <w:rsid w:val="00343774"/>
    <w:rsid w:val="0034436B"/>
    <w:rsid w:val="00344C22"/>
    <w:rsid w:val="00350259"/>
    <w:rsid w:val="00354216"/>
    <w:rsid w:val="003552F1"/>
    <w:rsid w:val="00355AC9"/>
    <w:rsid w:val="00355ACD"/>
    <w:rsid w:val="0035699A"/>
    <w:rsid w:val="00357600"/>
    <w:rsid w:val="003609C8"/>
    <w:rsid w:val="003666C4"/>
    <w:rsid w:val="0037056F"/>
    <w:rsid w:val="003714CF"/>
    <w:rsid w:val="0037225B"/>
    <w:rsid w:val="00372B50"/>
    <w:rsid w:val="00380BC9"/>
    <w:rsid w:val="00382537"/>
    <w:rsid w:val="00395B16"/>
    <w:rsid w:val="00396BC7"/>
    <w:rsid w:val="00397A68"/>
    <w:rsid w:val="003A3489"/>
    <w:rsid w:val="003B0F39"/>
    <w:rsid w:val="003B768E"/>
    <w:rsid w:val="003C1ABD"/>
    <w:rsid w:val="003C56AB"/>
    <w:rsid w:val="003C68A6"/>
    <w:rsid w:val="003D2DF7"/>
    <w:rsid w:val="003D52C0"/>
    <w:rsid w:val="003E077D"/>
    <w:rsid w:val="003E3284"/>
    <w:rsid w:val="003E32FF"/>
    <w:rsid w:val="003E3BB6"/>
    <w:rsid w:val="003F1D9B"/>
    <w:rsid w:val="003F6991"/>
    <w:rsid w:val="0040158F"/>
    <w:rsid w:val="0040223F"/>
    <w:rsid w:val="0040273D"/>
    <w:rsid w:val="00405BBC"/>
    <w:rsid w:val="00407E90"/>
    <w:rsid w:val="004123E8"/>
    <w:rsid w:val="004131ED"/>
    <w:rsid w:val="0041719E"/>
    <w:rsid w:val="00417908"/>
    <w:rsid w:val="00420ED4"/>
    <w:rsid w:val="00426CFB"/>
    <w:rsid w:val="00427E24"/>
    <w:rsid w:val="00431514"/>
    <w:rsid w:val="00432C8D"/>
    <w:rsid w:val="00441620"/>
    <w:rsid w:val="00447B66"/>
    <w:rsid w:val="00450612"/>
    <w:rsid w:val="00450E3B"/>
    <w:rsid w:val="00455C7F"/>
    <w:rsid w:val="00457F44"/>
    <w:rsid w:val="00477793"/>
    <w:rsid w:val="00485E86"/>
    <w:rsid w:val="00495FC9"/>
    <w:rsid w:val="004A2A5B"/>
    <w:rsid w:val="004B2BED"/>
    <w:rsid w:val="004B7177"/>
    <w:rsid w:val="004C3D07"/>
    <w:rsid w:val="004C6615"/>
    <w:rsid w:val="004C6ABD"/>
    <w:rsid w:val="004D1C11"/>
    <w:rsid w:val="004E18AC"/>
    <w:rsid w:val="004E4D44"/>
    <w:rsid w:val="004E5AFE"/>
    <w:rsid w:val="004E6137"/>
    <w:rsid w:val="004E6B5C"/>
    <w:rsid w:val="004F3CE0"/>
    <w:rsid w:val="004F6215"/>
    <w:rsid w:val="004F7182"/>
    <w:rsid w:val="004F739A"/>
    <w:rsid w:val="004F7F7F"/>
    <w:rsid w:val="00506D53"/>
    <w:rsid w:val="0050765F"/>
    <w:rsid w:val="0050786A"/>
    <w:rsid w:val="00510034"/>
    <w:rsid w:val="005143E3"/>
    <w:rsid w:val="005171A4"/>
    <w:rsid w:val="0051720A"/>
    <w:rsid w:val="00522CB4"/>
    <w:rsid w:val="0052327D"/>
    <w:rsid w:val="00527E10"/>
    <w:rsid w:val="00530AFE"/>
    <w:rsid w:val="005370AC"/>
    <w:rsid w:val="00543608"/>
    <w:rsid w:val="005448DF"/>
    <w:rsid w:val="00546024"/>
    <w:rsid w:val="005505ED"/>
    <w:rsid w:val="0055153C"/>
    <w:rsid w:val="005542A4"/>
    <w:rsid w:val="005556CD"/>
    <w:rsid w:val="00555B08"/>
    <w:rsid w:val="00562597"/>
    <w:rsid w:val="00563DFA"/>
    <w:rsid w:val="00564CE1"/>
    <w:rsid w:val="0056750D"/>
    <w:rsid w:val="00570AE4"/>
    <w:rsid w:val="00573C7B"/>
    <w:rsid w:val="00574072"/>
    <w:rsid w:val="00574C1D"/>
    <w:rsid w:val="00576620"/>
    <w:rsid w:val="00577963"/>
    <w:rsid w:val="00583AD0"/>
    <w:rsid w:val="00584413"/>
    <w:rsid w:val="0058554B"/>
    <w:rsid w:val="005864B9"/>
    <w:rsid w:val="005872E8"/>
    <w:rsid w:val="00593617"/>
    <w:rsid w:val="00594F32"/>
    <w:rsid w:val="00596806"/>
    <w:rsid w:val="00597966"/>
    <w:rsid w:val="00597E3A"/>
    <w:rsid w:val="005A28BD"/>
    <w:rsid w:val="005A4B4F"/>
    <w:rsid w:val="005A5A21"/>
    <w:rsid w:val="005A7DC5"/>
    <w:rsid w:val="005B1427"/>
    <w:rsid w:val="005B6128"/>
    <w:rsid w:val="005C02CC"/>
    <w:rsid w:val="005C03FE"/>
    <w:rsid w:val="005C1136"/>
    <w:rsid w:val="005C1479"/>
    <w:rsid w:val="005C2978"/>
    <w:rsid w:val="005C456C"/>
    <w:rsid w:val="005C4C3F"/>
    <w:rsid w:val="005D16CC"/>
    <w:rsid w:val="005D4861"/>
    <w:rsid w:val="005D6591"/>
    <w:rsid w:val="005E0D16"/>
    <w:rsid w:val="005E158C"/>
    <w:rsid w:val="005E2347"/>
    <w:rsid w:val="005E4226"/>
    <w:rsid w:val="005E65F4"/>
    <w:rsid w:val="005E7915"/>
    <w:rsid w:val="005F03DB"/>
    <w:rsid w:val="005F0F3E"/>
    <w:rsid w:val="005F1A7A"/>
    <w:rsid w:val="005F30A6"/>
    <w:rsid w:val="005F3A08"/>
    <w:rsid w:val="005F3B51"/>
    <w:rsid w:val="00607EB9"/>
    <w:rsid w:val="00613859"/>
    <w:rsid w:val="006155BD"/>
    <w:rsid w:val="00616EBF"/>
    <w:rsid w:val="00616F9A"/>
    <w:rsid w:val="00621C35"/>
    <w:rsid w:val="0062271F"/>
    <w:rsid w:val="006263AB"/>
    <w:rsid w:val="006358CE"/>
    <w:rsid w:val="00641F57"/>
    <w:rsid w:val="0064366E"/>
    <w:rsid w:val="00646CE7"/>
    <w:rsid w:val="00652CED"/>
    <w:rsid w:val="006535F1"/>
    <w:rsid w:val="00653C70"/>
    <w:rsid w:val="00656E75"/>
    <w:rsid w:val="00657CE3"/>
    <w:rsid w:val="00662E2B"/>
    <w:rsid w:val="006660A7"/>
    <w:rsid w:val="00667C53"/>
    <w:rsid w:val="00667D23"/>
    <w:rsid w:val="0067031F"/>
    <w:rsid w:val="00672003"/>
    <w:rsid w:val="00672E30"/>
    <w:rsid w:val="0067402C"/>
    <w:rsid w:val="00676DB1"/>
    <w:rsid w:val="00682866"/>
    <w:rsid w:val="00695B3E"/>
    <w:rsid w:val="006A0D28"/>
    <w:rsid w:val="006A47AB"/>
    <w:rsid w:val="006A5A3F"/>
    <w:rsid w:val="006A60D4"/>
    <w:rsid w:val="006A6D39"/>
    <w:rsid w:val="006B20E6"/>
    <w:rsid w:val="006B30DB"/>
    <w:rsid w:val="006B445B"/>
    <w:rsid w:val="006B7E4F"/>
    <w:rsid w:val="006C0D56"/>
    <w:rsid w:val="006C397E"/>
    <w:rsid w:val="006C5891"/>
    <w:rsid w:val="006C6973"/>
    <w:rsid w:val="006D128B"/>
    <w:rsid w:val="006D1604"/>
    <w:rsid w:val="006D3359"/>
    <w:rsid w:val="006D61C6"/>
    <w:rsid w:val="006D73B0"/>
    <w:rsid w:val="006E170F"/>
    <w:rsid w:val="006E3BC4"/>
    <w:rsid w:val="006E3CEE"/>
    <w:rsid w:val="006E7550"/>
    <w:rsid w:val="006F0B9E"/>
    <w:rsid w:val="006F186B"/>
    <w:rsid w:val="006F498E"/>
    <w:rsid w:val="00701717"/>
    <w:rsid w:val="007017D2"/>
    <w:rsid w:val="00702102"/>
    <w:rsid w:val="007041F0"/>
    <w:rsid w:val="007057C7"/>
    <w:rsid w:val="00705A23"/>
    <w:rsid w:val="0071279E"/>
    <w:rsid w:val="00712EF6"/>
    <w:rsid w:val="007149D0"/>
    <w:rsid w:val="00714F70"/>
    <w:rsid w:val="007159D7"/>
    <w:rsid w:val="00717AF7"/>
    <w:rsid w:val="00720D4C"/>
    <w:rsid w:val="00721AB2"/>
    <w:rsid w:val="00721C69"/>
    <w:rsid w:val="0072677D"/>
    <w:rsid w:val="00726C73"/>
    <w:rsid w:val="00732083"/>
    <w:rsid w:val="007364C7"/>
    <w:rsid w:val="00737AB5"/>
    <w:rsid w:val="007405BA"/>
    <w:rsid w:val="007434ED"/>
    <w:rsid w:val="007448CC"/>
    <w:rsid w:val="00746100"/>
    <w:rsid w:val="007478C0"/>
    <w:rsid w:val="007541C4"/>
    <w:rsid w:val="00760E73"/>
    <w:rsid w:val="00762059"/>
    <w:rsid w:val="00764D76"/>
    <w:rsid w:val="0076605B"/>
    <w:rsid w:val="00767C77"/>
    <w:rsid w:val="0077791C"/>
    <w:rsid w:val="00781E3E"/>
    <w:rsid w:val="00783951"/>
    <w:rsid w:val="00784E59"/>
    <w:rsid w:val="00787857"/>
    <w:rsid w:val="00790AB0"/>
    <w:rsid w:val="007943B2"/>
    <w:rsid w:val="00796088"/>
    <w:rsid w:val="0079712A"/>
    <w:rsid w:val="007A222F"/>
    <w:rsid w:val="007B10A3"/>
    <w:rsid w:val="007B134B"/>
    <w:rsid w:val="007B1353"/>
    <w:rsid w:val="007B2E9D"/>
    <w:rsid w:val="007B32C6"/>
    <w:rsid w:val="007B48AA"/>
    <w:rsid w:val="007B53F6"/>
    <w:rsid w:val="007B5ECA"/>
    <w:rsid w:val="007B648E"/>
    <w:rsid w:val="007B6820"/>
    <w:rsid w:val="007C2A8E"/>
    <w:rsid w:val="007D37FD"/>
    <w:rsid w:val="007D5673"/>
    <w:rsid w:val="007D74D6"/>
    <w:rsid w:val="007E2618"/>
    <w:rsid w:val="007E406B"/>
    <w:rsid w:val="007E5E7D"/>
    <w:rsid w:val="007E79A5"/>
    <w:rsid w:val="007F0178"/>
    <w:rsid w:val="007F27C6"/>
    <w:rsid w:val="007F317D"/>
    <w:rsid w:val="007F3A3B"/>
    <w:rsid w:val="007F510C"/>
    <w:rsid w:val="007F5804"/>
    <w:rsid w:val="007F5C34"/>
    <w:rsid w:val="007F7EEC"/>
    <w:rsid w:val="00802670"/>
    <w:rsid w:val="00802D28"/>
    <w:rsid w:val="0080425F"/>
    <w:rsid w:val="00804EDF"/>
    <w:rsid w:val="00812511"/>
    <w:rsid w:val="00812575"/>
    <w:rsid w:val="00814C67"/>
    <w:rsid w:val="00822EE6"/>
    <w:rsid w:val="008241E1"/>
    <w:rsid w:val="00825CAF"/>
    <w:rsid w:val="00826615"/>
    <w:rsid w:val="00833277"/>
    <w:rsid w:val="00834D62"/>
    <w:rsid w:val="00835932"/>
    <w:rsid w:val="00835A3A"/>
    <w:rsid w:val="00835AD3"/>
    <w:rsid w:val="00836F3B"/>
    <w:rsid w:val="0083729F"/>
    <w:rsid w:val="00840865"/>
    <w:rsid w:val="0084261A"/>
    <w:rsid w:val="008465D1"/>
    <w:rsid w:val="008549C4"/>
    <w:rsid w:val="00856584"/>
    <w:rsid w:val="008566DD"/>
    <w:rsid w:val="00856775"/>
    <w:rsid w:val="0085734F"/>
    <w:rsid w:val="00870B4D"/>
    <w:rsid w:val="008716C3"/>
    <w:rsid w:val="00872D6B"/>
    <w:rsid w:val="0087432A"/>
    <w:rsid w:val="0087787A"/>
    <w:rsid w:val="00877934"/>
    <w:rsid w:val="008802D1"/>
    <w:rsid w:val="00880DD2"/>
    <w:rsid w:val="0088169A"/>
    <w:rsid w:val="00887472"/>
    <w:rsid w:val="00887FC8"/>
    <w:rsid w:val="008901A4"/>
    <w:rsid w:val="00891D2F"/>
    <w:rsid w:val="008958AF"/>
    <w:rsid w:val="0089706B"/>
    <w:rsid w:val="00897F31"/>
    <w:rsid w:val="008A0DEC"/>
    <w:rsid w:val="008A164D"/>
    <w:rsid w:val="008A2678"/>
    <w:rsid w:val="008A6CCC"/>
    <w:rsid w:val="008B5CF3"/>
    <w:rsid w:val="008B6B96"/>
    <w:rsid w:val="008C0508"/>
    <w:rsid w:val="008C23CC"/>
    <w:rsid w:val="008C2A82"/>
    <w:rsid w:val="008C2B66"/>
    <w:rsid w:val="008C3A1D"/>
    <w:rsid w:val="008C5AAC"/>
    <w:rsid w:val="008C6F2F"/>
    <w:rsid w:val="008D130E"/>
    <w:rsid w:val="008D13D6"/>
    <w:rsid w:val="008E0CAE"/>
    <w:rsid w:val="008E4375"/>
    <w:rsid w:val="008E462E"/>
    <w:rsid w:val="008E6000"/>
    <w:rsid w:val="008E7BBA"/>
    <w:rsid w:val="008F3014"/>
    <w:rsid w:val="008F6C06"/>
    <w:rsid w:val="00900BBF"/>
    <w:rsid w:val="00910638"/>
    <w:rsid w:val="009132C8"/>
    <w:rsid w:val="009136A3"/>
    <w:rsid w:val="009137B8"/>
    <w:rsid w:val="00914582"/>
    <w:rsid w:val="00914B58"/>
    <w:rsid w:val="00914C03"/>
    <w:rsid w:val="00915473"/>
    <w:rsid w:val="00921EF9"/>
    <w:rsid w:val="00922A96"/>
    <w:rsid w:val="00932C7B"/>
    <w:rsid w:val="00933171"/>
    <w:rsid w:val="00934724"/>
    <w:rsid w:val="00934C04"/>
    <w:rsid w:val="0094561C"/>
    <w:rsid w:val="00951232"/>
    <w:rsid w:val="009516A4"/>
    <w:rsid w:val="00952E06"/>
    <w:rsid w:val="00955EBE"/>
    <w:rsid w:val="00956A50"/>
    <w:rsid w:val="00956FCA"/>
    <w:rsid w:val="00961690"/>
    <w:rsid w:val="009644E6"/>
    <w:rsid w:val="00965E22"/>
    <w:rsid w:val="009704D0"/>
    <w:rsid w:val="00972D89"/>
    <w:rsid w:val="009756C3"/>
    <w:rsid w:val="0097756A"/>
    <w:rsid w:val="00977934"/>
    <w:rsid w:val="00981679"/>
    <w:rsid w:val="00981893"/>
    <w:rsid w:val="00983C13"/>
    <w:rsid w:val="00984BD4"/>
    <w:rsid w:val="00986AE6"/>
    <w:rsid w:val="0099014A"/>
    <w:rsid w:val="00991846"/>
    <w:rsid w:val="00991FBF"/>
    <w:rsid w:val="0099395E"/>
    <w:rsid w:val="009A115F"/>
    <w:rsid w:val="009A133E"/>
    <w:rsid w:val="009A3BC1"/>
    <w:rsid w:val="009A3DDC"/>
    <w:rsid w:val="009A51A4"/>
    <w:rsid w:val="009B1419"/>
    <w:rsid w:val="009B24C5"/>
    <w:rsid w:val="009B4FFB"/>
    <w:rsid w:val="009B5A22"/>
    <w:rsid w:val="009C2A26"/>
    <w:rsid w:val="009C2CF6"/>
    <w:rsid w:val="009C2DBD"/>
    <w:rsid w:val="009C506A"/>
    <w:rsid w:val="009D46A7"/>
    <w:rsid w:val="009D56AA"/>
    <w:rsid w:val="009D6CE0"/>
    <w:rsid w:val="009D71F0"/>
    <w:rsid w:val="009E04A8"/>
    <w:rsid w:val="009E1C30"/>
    <w:rsid w:val="009E3ADE"/>
    <w:rsid w:val="009E40BD"/>
    <w:rsid w:val="009E41BE"/>
    <w:rsid w:val="009E6754"/>
    <w:rsid w:val="009F632E"/>
    <w:rsid w:val="009F6F4C"/>
    <w:rsid w:val="00A007EA"/>
    <w:rsid w:val="00A00F54"/>
    <w:rsid w:val="00A019E9"/>
    <w:rsid w:val="00A045E6"/>
    <w:rsid w:val="00A05A6C"/>
    <w:rsid w:val="00A06FE8"/>
    <w:rsid w:val="00A15FED"/>
    <w:rsid w:val="00A17091"/>
    <w:rsid w:val="00A2006E"/>
    <w:rsid w:val="00A20B51"/>
    <w:rsid w:val="00A257AD"/>
    <w:rsid w:val="00A265EB"/>
    <w:rsid w:val="00A32B77"/>
    <w:rsid w:val="00A33249"/>
    <w:rsid w:val="00A36CAD"/>
    <w:rsid w:val="00A41139"/>
    <w:rsid w:val="00A42C8B"/>
    <w:rsid w:val="00A436AD"/>
    <w:rsid w:val="00A43FFD"/>
    <w:rsid w:val="00A46B29"/>
    <w:rsid w:val="00A46F05"/>
    <w:rsid w:val="00A5102C"/>
    <w:rsid w:val="00A52713"/>
    <w:rsid w:val="00A54F05"/>
    <w:rsid w:val="00A56A5C"/>
    <w:rsid w:val="00A60CB5"/>
    <w:rsid w:val="00A616F7"/>
    <w:rsid w:val="00A63B9E"/>
    <w:rsid w:val="00A67275"/>
    <w:rsid w:val="00A673D8"/>
    <w:rsid w:val="00A70133"/>
    <w:rsid w:val="00A72AE0"/>
    <w:rsid w:val="00A73A14"/>
    <w:rsid w:val="00A7679C"/>
    <w:rsid w:val="00A76C65"/>
    <w:rsid w:val="00A82A44"/>
    <w:rsid w:val="00A8335B"/>
    <w:rsid w:val="00A85D01"/>
    <w:rsid w:val="00A94641"/>
    <w:rsid w:val="00A94BA4"/>
    <w:rsid w:val="00A94E2D"/>
    <w:rsid w:val="00A955E8"/>
    <w:rsid w:val="00AA67C1"/>
    <w:rsid w:val="00AA7A5C"/>
    <w:rsid w:val="00AB06DB"/>
    <w:rsid w:val="00AB2265"/>
    <w:rsid w:val="00AB4220"/>
    <w:rsid w:val="00AB533D"/>
    <w:rsid w:val="00AB5A92"/>
    <w:rsid w:val="00AB67D5"/>
    <w:rsid w:val="00AC2CD5"/>
    <w:rsid w:val="00AC2D0C"/>
    <w:rsid w:val="00AC5355"/>
    <w:rsid w:val="00AC5B2C"/>
    <w:rsid w:val="00AD1442"/>
    <w:rsid w:val="00AE0838"/>
    <w:rsid w:val="00AE14C6"/>
    <w:rsid w:val="00AE1987"/>
    <w:rsid w:val="00AE5FD1"/>
    <w:rsid w:val="00AE7321"/>
    <w:rsid w:val="00AE758B"/>
    <w:rsid w:val="00AF0FCF"/>
    <w:rsid w:val="00B03A48"/>
    <w:rsid w:val="00B043A7"/>
    <w:rsid w:val="00B048BE"/>
    <w:rsid w:val="00B05805"/>
    <w:rsid w:val="00B06C2A"/>
    <w:rsid w:val="00B10892"/>
    <w:rsid w:val="00B145D3"/>
    <w:rsid w:val="00B21150"/>
    <w:rsid w:val="00B22E30"/>
    <w:rsid w:val="00B25325"/>
    <w:rsid w:val="00B42FC9"/>
    <w:rsid w:val="00B50187"/>
    <w:rsid w:val="00B5122A"/>
    <w:rsid w:val="00B51624"/>
    <w:rsid w:val="00B52CC3"/>
    <w:rsid w:val="00B53D4C"/>
    <w:rsid w:val="00B549FA"/>
    <w:rsid w:val="00B637F4"/>
    <w:rsid w:val="00B665EE"/>
    <w:rsid w:val="00B722E8"/>
    <w:rsid w:val="00B72905"/>
    <w:rsid w:val="00B74250"/>
    <w:rsid w:val="00B74D50"/>
    <w:rsid w:val="00B75CA5"/>
    <w:rsid w:val="00B809E2"/>
    <w:rsid w:val="00B91F66"/>
    <w:rsid w:val="00B94D87"/>
    <w:rsid w:val="00B96134"/>
    <w:rsid w:val="00BA2185"/>
    <w:rsid w:val="00BA2AE1"/>
    <w:rsid w:val="00BA65AB"/>
    <w:rsid w:val="00BA664A"/>
    <w:rsid w:val="00BA688C"/>
    <w:rsid w:val="00BB216D"/>
    <w:rsid w:val="00BB21DE"/>
    <w:rsid w:val="00BB2D71"/>
    <w:rsid w:val="00BB2DD8"/>
    <w:rsid w:val="00BB4305"/>
    <w:rsid w:val="00BB53E5"/>
    <w:rsid w:val="00BB6195"/>
    <w:rsid w:val="00BC1456"/>
    <w:rsid w:val="00BC23CB"/>
    <w:rsid w:val="00BC46DD"/>
    <w:rsid w:val="00BC6999"/>
    <w:rsid w:val="00BD4F3E"/>
    <w:rsid w:val="00BE0992"/>
    <w:rsid w:val="00BE15E3"/>
    <w:rsid w:val="00BE18EE"/>
    <w:rsid w:val="00BE21C4"/>
    <w:rsid w:val="00BE507E"/>
    <w:rsid w:val="00BE61CA"/>
    <w:rsid w:val="00BE6279"/>
    <w:rsid w:val="00BF04E4"/>
    <w:rsid w:val="00BF07D1"/>
    <w:rsid w:val="00BF28D3"/>
    <w:rsid w:val="00BF2B43"/>
    <w:rsid w:val="00BF57AC"/>
    <w:rsid w:val="00C01BE1"/>
    <w:rsid w:val="00C01C48"/>
    <w:rsid w:val="00C035C3"/>
    <w:rsid w:val="00C05543"/>
    <w:rsid w:val="00C07D0D"/>
    <w:rsid w:val="00C15BBE"/>
    <w:rsid w:val="00C22F96"/>
    <w:rsid w:val="00C23A86"/>
    <w:rsid w:val="00C23B07"/>
    <w:rsid w:val="00C24844"/>
    <w:rsid w:val="00C25A33"/>
    <w:rsid w:val="00C30D0C"/>
    <w:rsid w:val="00C326CA"/>
    <w:rsid w:val="00C327B5"/>
    <w:rsid w:val="00C35BA8"/>
    <w:rsid w:val="00C370D4"/>
    <w:rsid w:val="00C37940"/>
    <w:rsid w:val="00C4361A"/>
    <w:rsid w:val="00C47E87"/>
    <w:rsid w:val="00C540A3"/>
    <w:rsid w:val="00C56492"/>
    <w:rsid w:val="00C56FC8"/>
    <w:rsid w:val="00C57667"/>
    <w:rsid w:val="00C65AE8"/>
    <w:rsid w:val="00C762FF"/>
    <w:rsid w:val="00C76304"/>
    <w:rsid w:val="00C83EA2"/>
    <w:rsid w:val="00C860CE"/>
    <w:rsid w:val="00C90E3E"/>
    <w:rsid w:val="00C92027"/>
    <w:rsid w:val="00C935B4"/>
    <w:rsid w:val="00CA2B96"/>
    <w:rsid w:val="00CA7DDF"/>
    <w:rsid w:val="00CB107C"/>
    <w:rsid w:val="00CB1706"/>
    <w:rsid w:val="00CB34F4"/>
    <w:rsid w:val="00CC0975"/>
    <w:rsid w:val="00CC32CD"/>
    <w:rsid w:val="00CC5842"/>
    <w:rsid w:val="00CD1E11"/>
    <w:rsid w:val="00CD2B52"/>
    <w:rsid w:val="00CD43AD"/>
    <w:rsid w:val="00CE1823"/>
    <w:rsid w:val="00CE5CFB"/>
    <w:rsid w:val="00CE6F70"/>
    <w:rsid w:val="00CF05A4"/>
    <w:rsid w:val="00CF3922"/>
    <w:rsid w:val="00CF4BF4"/>
    <w:rsid w:val="00D00071"/>
    <w:rsid w:val="00D05748"/>
    <w:rsid w:val="00D06D82"/>
    <w:rsid w:val="00D07E76"/>
    <w:rsid w:val="00D1607E"/>
    <w:rsid w:val="00D1788F"/>
    <w:rsid w:val="00D20516"/>
    <w:rsid w:val="00D24803"/>
    <w:rsid w:val="00D25EAD"/>
    <w:rsid w:val="00D26DE8"/>
    <w:rsid w:val="00D2741E"/>
    <w:rsid w:val="00D35B75"/>
    <w:rsid w:val="00D3609D"/>
    <w:rsid w:val="00D4415D"/>
    <w:rsid w:val="00D46FAC"/>
    <w:rsid w:val="00D47012"/>
    <w:rsid w:val="00D47480"/>
    <w:rsid w:val="00D52C53"/>
    <w:rsid w:val="00D56ADF"/>
    <w:rsid w:val="00D610C4"/>
    <w:rsid w:val="00D63C44"/>
    <w:rsid w:val="00D64F22"/>
    <w:rsid w:val="00D7543F"/>
    <w:rsid w:val="00D8091A"/>
    <w:rsid w:val="00D82A67"/>
    <w:rsid w:val="00D936B2"/>
    <w:rsid w:val="00D94108"/>
    <w:rsid w:val="00D95DAB"/>
    <w:rsid w:val="00D96D73"/>
    <w:rsid w:val="00DA17EF"/>
    <w:rsid w:val="00DA4F19"/>
    <w:rsid w:val="00DA5A33"/>
    <w:rsid w:val="00DB2A10"/>
    <w:rsid w:val="00DB3CB6"/>
    <w:rsid w:val="00DB6E6E"/>
    <w:rsid w:val="00DB7873"/>
    <w:rsid w:val="00DC10BF"/>
    <w:rsid w:val="00DC3ACF"/>
    <w:rsid w:val="00DC3BA1"/>
    <w:rsid w:val="00DC4C6E"/>
    <w:rsid w:val="00DD012E"/>
    <w:rsid w:val="00DD0560"/>
    <w:rsid w:val="00DD4494"/>
    <w:rsid w:val="00DE3911"/>
    <w:rsid w:val="00DF0CF8"/>
    <w:rsid w:val="00DF18C8"/>
    <w:rsid w:val="00DF2552"/>
    <w:rsid w:val="00DF2B49"/>
    <w:rsid w:val="00DF47E4"/>
    <w:rsid w:val="00DF5261"/>
    <w:rsid w:val="00DF7478"/>
    <w:rsid w:val="00DF796E"/>
    <w:rsid w:val="00DF7FB7"/>
    <w:rsid w:val="00E03D73"/>
    <w:rsid w:val="00E03E66"/>
    <w:rsid w:val="00E06EA7"/>
    <w:rsid w:val="00E11939"/>
    <w:rsid w:val="00E12D7A"/>
    <w:rsid w:val="00E14E33"/>
    <w:rsid w:val="00E16FC7"/>
    <w:rsid w:val="00E171B2"/>
    <w:rsid w:val="00E23EDF"/>
    <w:rsid w:val="00E2673D"/>
    <w:rsid w:val="00E27B82"/>
    <w:rsid w:val="00E3134F"/>
    <w:rsid w:val="00E32132"/>
    <w:rsid w:val="00E3286B"/>
    <w:rsid w:val="00E32F79"/>
    <w:rsid w:val="00E35AAB"/>
    <w:rsid w:val="00E376EF"/>
    <w:rsid w:val="00E46157"/>
    <w:rsid w:val="00E46BDC"/>
    <w:rsid w:val="00E56A4B"/>
    <w:rsid w:val="00E64DF2"/>
    <w:rsid w:val="00E663F0"/>
    <w:rsid w:val="00E700DB"/>
    <w:rsid w:val="00E70EE4"/>
    <w:rsid w:val="00E73160"/>
    <w:rsid w:val="00E735B9"/>
    <w:rsid w:val="00E779B1"/>
    <w:rsid w:val="00E828FA"/>
    <w:rsid w:val="00E8533F"/>
    <w:rsid w:val="00E9262C"/>
    <w:rsid w:val="00E94EDD"/>
    <w:rsid w:val="00E95C25"/>
    <w:rsid w:val="00E971DC"/>
    <w:rsid w:val="00E97938"/>
    <w:rsid w:val="00EA1A0E"/>
    <w:rsid w:val="00EA22A9"/>
    <w:rsid w:val="00EA293E"/>
    <w:rsid w:val="00EB0408"/>
    <w:rsid w:val="00EB3127"/>
    <w:rsid w:val="00EB3683"/>
    <w:rsid w:val="00EB4B16"/>
    <w:rsid w:val="00EC1F21"/>
    <w:rsid w:val="00EC28E4"/>
    <w:rsid w:val="00EC3921"/>
    <w:rsid w:val="00EC52F6"/>
    <w:rsid w:val="00EC74A9"/>
    <w:rsid w:val="00ED1604"/>
    <w:rsid w:val="00ED6DE5"/>
    <w:rsid w:val="00EE07A3"/>
    <w:rsid w:val="00EE282C"/>
    <w:rsid w:val="00EE4F7E"/>
    <w:rsid w:val="00EE58BE"/>
    <w:rsid w:val="00EE5968"/>
    <w:rsid w:val="00EE650B"/>
    <w:rsid w:val="00EF2DDC"/>
    <w:rsid w:val="00EF6746"/>
    <w:rsid w:val="00EF6781"/>
    <w:rsid w:val="00F00AD7"/>
    <w:rsid w:val="00F011BC"/>
    <w:rsid w:val="00F03FD3"/>
    <w:rsid w:val="00F06EA3"/>
    <w:rsid w:val="00F06F3D"/>
    <w:rsid w:val="00F103A3"/>
    <w:rsid w:val="00F13A13"/>
    <w:rsid w:val="00F17406"/>
    <w:rsid w:val="00F20EB3"/>
    <w:rsid w:val="00F21602"/>
    <w:rsid w:val="00F27BF6"/>
    <w:rsid w:val="00F311BC"/>
    <w:rsid w:val="00F321DD"/>
    <w:rsid w:val="00F372CE"/>
    <w:rsid w:val="00F3798E"/>
    <w:rsid w:val="00F428E5"/>
    <w:rsid w:val="00F4458D"/>
    <w:rsid w:val="00F459DD"/>
    <w:rsid w:val="00F46F36"/>
    <w:rsid w:val="00F51B89"/>
    <w:rsid w:val="00F532AE"/>
    <w:rsid w:val="00F55481"/>
    <w:rsid w:val="00F60BD0"/>
    <w:rsid w:val="00F62C0C"/>
    <w:rsid w:val="00F639C7"/>
    <w:rsid w:val="00F648D8"/>
    <w:rsid w:val="00F655A8"/>
    <w:rsid w:val="00F67861"/>
    <w:rsid w:val="00F70165"/>
    <w:rsid w:val="00F7174C"/>
    <w:rsid w:val="00F71F4E"/>
    <w:rsid w:val="00F7359E"/>
    <w:rsid w:val="00F76AE4"/>
    <w:rsid w:val="00F80057"/>
    <w:rsid w:val="00F8036C"/>
    <w:rsid w:val="00F803E1"/>
    <w:rsid w:val="00F81058"/>
    <w:rsid w:val="00F82304"/>
    <w:rsid w:val="00F82C4A"/>
    <w:rsid w:val="00F82EF2"/>
    <w:rsid w:val="00F838FE"/>
    <w:rsid w:val="00F8534C"/>
    <w:rsid w:val="00F9520F"/>
    <w:rsid w:val="00F96F52"/>
    <w:rsid w:val="00FA1C45"/>
    <w:rsid w:val="00FA3B1C"/>
    <w:rsid w:val="00FA5BA3"/>
    <w:rsid w:val="00FB1020"/>
    <w:rsid w:val="00FB532E"/>
    <w:rsid w:val="00FB534D"/>
    <w:rsid w:val="00FB710D"/>
    <w:rsid w:val="00FC00A1"/>
    <w:rsid w:val="00FC0658"/>
    <w:rsid w:val="00FC0CDF"/>
    <w:rsid w:val="00FC27DE"/>
    <w:rsid w:val="00FC42BF"/>
    <w:rsid w:val="00FC7040"/>
    <w:rsid w:val="00FD1C93"/>
    <w:rsid w:val="00FD4277"/>
    <w:rsid w:val="00FD4871"/>
    <w:rsid w:val="00FD58EC"/>
    <w:rsid w:val="00FD741A"/>
    <w:rsid w:val="00FE0D31"/>
    <w:rsid w:val="00FE27DE"/>
    <w:rsid w:val="00FE5C0E"/>
    <w:rsid w:val="00FE608F"/>
    <w:rsid w:val="00FF1A11"/>
    <w:rsid w:val="00FF1DFF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B68B"/>
  <w15:chartTrackingRefBased/>
  <w15:docId w15:val="{538C80D9-10C3-43C8-905F-33EC9DE4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2A"/>
  </w:style>
  <w:style w:type="paragraph" w:styleId="Footer">
    <w:name w:val="footer"/>
    <w:basedOn w:val="Normal"/>
    <w:link w:val="FooterChar"/>
    <w:uiPriority w:val="99"/>
    <w:unhideWhenUsed/>
    <w:rsid w:val="00B06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2A"/>
  </w:style>
  <w:style w:type="table" w:styleId="TableGrid">
    <w:name w:val="Table Grid"/>
    <w:basedOn w:val="TableNormal"/>
    <w:uiPriority w:val="39"/>
    <w:rsid w:val="00B0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6C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06C2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06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C2A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B06C2A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06C2A"/>
    <w:rPr>
      <w:rFonts w:ascii="Tahoma" w:eastAsia="Times New Roman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796ae41-3c3d-4acd-bada-92ce7d4711ff" ContentTypeId="0x010100948566A759A2384F91398576C33462A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nking and Insurance Divisional Main Area" ma:contentTypeID="0x010100948566A759A2384F91398576C33462AE0040100E0249D72D449041832694C5A88E" ma:contentTypeVersion="10" ma:contentTypeDescription="Banking and Insurance Divisional Main Area" ma:contentTypeScope="" ma:versionID="d78306ca3fa2fb024005b9fc19c2f2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60b2c0a690e7371cf0b54a636aa9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5429-680E-49F0-9659-ADFA7E6D6A1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23AB2C1-F52D-480A-BF99-6C19110BD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D5881-B8C5-463F-A7B8-09FFA0AEC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D53D6-23CD-45B1-A110-C8A775D6C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Bowley</dc:creator>
  <cp:keywords/>
  <dc:description/>
  <cp:lastModifiedBy>Kathryn Bowley</cp:lastModifiedBy>
  <cp:revision>5</cp:revision>
  <dcterms:created xsi:type="dcterms:W3CDTF">2023-01-18T11:57:00Z</dcterms:created>
  <dcterms:modified xsi:type="dcterms:W3CDTF">2023-01-19T10:02:00Z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0x010100948566A759A2384F91398576C33462AE0040100E0249D72D449041832694C5A88E</vt:lpwstr>
  </property>
</Properties>
</file>