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53D0B" w14:textId="0D40B636" w:rsidR="003B14A1" w:rsidRDefault="003B14A1" w:rsidP="00BF36F8">
      <w:pPr>
        <w:jc w:val="both"/>
        <w:rPr>
          <w:rFonts w:ascii="Times New Roman" w:hAnsi="Times New Roman" w:cs="Times New Roman"/>
          <w:sz w:val="32"/>
          <w:szCs w:val="32"/>
        </w:rPr>
      </w:pPr>
      <w:r>
        <w:rPr>
          <w:rFonts w:ascii="Times New Roman" w:hAnsi="Times New Roman" w:cs="Times New Roman"/>
          <w:sz w:val="32"/>
          <w:szCs w:val="32"/>
        </w:rPr>
        <w:t>NOTICE TO ALL FULL FIDUCIARY LICENSEES</w:t>
      </w:r>
    </w:p>
    <w:p w14:paraId="0950D262" w14:textId="06BA690E" w:rsidR="00ED7409" w:rsidRPr="00BF36F8" w:rsidRDefault="00BF36F8" w:rsidP="00BF36F8">
      <w:pPr>
        <w:jc w:val="both"/>
        <w:rPr>
          <w:rFonts w:ascii="Times New Roman" w:hAnsi="Times New Roman" w:cs="Times New Roman"/>
          <w:sz w:val="32"/>
          <w:szCs w:val="32"/>
        </w:rPr>
      </w:pPr>
      <w:r w:rsidRPr="00BF36F8">
        <w:rPr>
          <w:rFonts w:ascii="Times New Roman" w:hAnsi="Times New Roman" w:cs="Times New Roman"/>
          <w:sz w:val="32"/>
          <w:szCs w:val="32"/>
        </w:rPr>
        <w:t>Re-Categorisation of Full Fiduciar</w:t>
      </w:r>
      <w:r>
        <w:rPr>
          <w:rFonts w:ascii="Times New Roman" w:hAnsi="Times New Roman" w:cs="Times New Roman"/>
          <w:sz w:val="32"/>
          <w:szCs w:val="32"/>
        </w:rPr>
        <w:t>y Licences</w:t>
      </w:r>
      <w:r w:rsidRPr="00BF36F8">
        <w:rPr>
          <w:rFonts w:ascii="Times New Roman" w:hAnsi="Times New Roman" w:cs="Times New Roman"/>
          <w:sz w:val="32"/>
          <w:szCs w:val="32"/>
        </w:rPr>
        <w:t xml:space="preserve"> </w:t>
      </w:r>
      <w:r>
        <w:rPr>
          <w:rFonts w:ascii="Times New Roman" w:hAnsi="Times New Roman" w:cs="Times New Roman"/>
          <w:sz w:val="32"/>
          <w:szCs w:val="32"/>
        </w:rPr>
        <w:t>u</w:t>
      </w:r>
      <w:r w:rsidRPr="00BF36F8">
        <w:rPr>
          <w:rFonts w:ascii="Times New Roman" w:hAnsi="Times New Roman" w:cs="Times New Roman"/>
          <w:sz w:val="32"/>
          <w:szCs w:val="32"/>
        </w:rPr>
        <w:t>pon Implementation of the Regulation of Fiduciaries, Administration Business and Company Directors, etc (Bailiwick of Guernsey) Law, 2020</w:t>
      </w:r>
      <w:r w:rsidR="00847D3F">
        <w:rPr>
          <w:rStyle w:val="FootnoteReference"/>
          <w:rFonts w:ascii="Times New Roman" w:hAnsi="Times New Roman" w:cs="Times New Roman"/>
          <w:sz w:val="32"/>
          <w:szCs w:val="32"/>
        </w:rPr>
        <w:footnoteReference w:id="1"/>
      </w:r>
      <w:r w:rsidR="0020364D">
        <w:rPr>
          <w:rFonts w:ascii="Times New Roman" w:hAnsi="Times New Roman" w:cs="Times New Roman"/>
          <w:sz w:val="32"/>
          <w:szCs w:val="32"/>
        </w:rPr>
        <w:t xml:space="preserve"> (the “2020 Fiduciaries Law”)</w:t>
      </w:r>
    </w:p>
    <w:p w14:paraId="4DAB28A6" w14:textId="7ECB796A" w:rsidR="00BF36F8" w:rsidRDefault="00BF36F8">
      <w:pPr>
        <w:rPr>
          <w:sz w:val="32"/>
          <w:szCs w:val="32"/>
          <w:u w:val="single"/>
        </w:rPr>
      </w:pPr>
    </w:p>
    <w:p w14:paraId="5EFDD071" w14:textId="0041A6CC" w:rsidR="003B14A1" w:rsidRPr="003B14A1" w:rsidRDefault="003B14A1">
      <w:pPr>
        <w:rPr>
          <w:rFonts w:ascii="Times New Roman" w:hAnsi="Times New Roman" w:cs="Times New Roman"/>
          <w:b/>
          <w:bCs/>
          <w:sz w:val="24"/>
          <w:szCs w:val="24"/>
        </w:rPr>
      </w:pPr>
      <w:r w:rsidRPr="003B14A1">
        <w:rPr>
          <w:rFonts w:ascii="Times New Roman" w:hAnsi="Times New Roman" w:cs="Times New Roman"/>
          <w:b/>
          <w:bCs/>
          <w:sz w:val="24"/>
          <w:szCs w:val="24"/>
        </w:rPr>
        <w:t>Lead Licensees</w:t>
      </w:r>
    </w:p>
    <w:p w14:paraId="34C2A9E6" w14:textId="3C4FC63D" w:rsidR="003B14A1" w:rsidRPr="003B14A1" w:rsidRDefault="003B14A1" w:rsidP="00A42AF2">
      <w:pPr>
        <w:jc w:val="both"/>
        <w:rPr>
          <w:rFonts w:ascii="Times New Roman" w:hAnsi="Times New Roman" w:cs="Times New Roman"/>
          <w:sz w:val="24"/>
          <w:szCs w:val="24"/>
        </w:rPr>
      </w:pPr>
      <w:r w:rsidRPr="003B14A1">
        <w:rPr>
          <w:rFonts w:ascii="Times New Roman" w:hAnsi="Times New Roman" w:cs="Times New Roman"/>
          <w:sz w:val="24"/>
          <w:szCs w:val="24"/>
        </w:rPr>
        <w:t>On</w:t>
      </w:r>
      <w:r>
        <w:rPr>
          <w:rFonts w:ascii="Times New Roman" w:hAnsi="Times New Roman" w:cs="Times New Roman"/>
          <w:sz w:val="24"/>
          <w:szCs w:val="24"/>
        </w:rPr>
        <w:t xml:space="preserve"> the </w:t>
      </w:r>
      <w:r w:rsidR="00A42AF2">
        <w:rPr>
          <w:rFonts w:ascii="Times New Roman" w:hAnsi="Times New Roman" w:cs="Times New Roman"/>
          <w:sz w:val="24"/>
          <w:szCs w:val="24"/>
        </w:rPr>
        <w:t>commencement of the 2020 Fiduciaries Law on the 1 November 2021 all full fiduciary licensees categorised as Lead Licensees will convert to primary fiduciary licensees.</w:t>
      </w:r>
    </w:p>
    <w:p w14:paraId="33651D5C" w14:textId="77777777" w:rsidR="006F3205" w:rsidRDefault="006F3205" w:rsidP="006F3205">
      <w:pPr>
        <w:jc w:val="both"/>
        <w:rPr>
          <w:rFonts w:ascii="Times New Roman" w:hAnsi="Times New Roman" w:cs="Times New Roman"/>
          <w:sz w:val="24"/>
          <w:szCs w:val="24"/>
        </w:rPr>
      </w:pPr>
    </w:p>
    <w:p w14:paraId="0972B2A8" w14:textId="3FC234D7" w:rsidR="006F3205" w:rsidRPr="003B14A1" w:rsidRDefault="003B14A1" w:rsidP="006F3205">
      <w:pPr>
        <w:jc w:val="both"/>
        <w:rPr>
          <w:rFonts w:ascii="Times New Roman" w:hAnsi="Times New Roman" w:cs="Times New Roman"/>
          <w:b/>
          <w:bCs/>
          <w:sz w:val="24"/>
          <w:szCs w:val="24"/>
        </w:rPr>
      </w:pPr>
      <w:r w:rsidRPr="003B14A1">
        <w:rPr>
          <w:rFonts w:ascii="Times New Roman" w:hAnsi="Times New Roman" w:cs="Times New Roman"/>
          <w:b/>
          <w:bCs/>
          <w:sz w:val="24"/>
          <w:szCs w:val="24"/>
        </w:rPr>
        <w:t>Joint Licensees</w:t>
      </w:r>
    </w:p>
    <w:p w14:paraId="40955F64" w14:textId="79479B9B" w:rsidR="00BF36F8" w:rsidRDefault="00BF36F8" w:rsidP="006F3205">
      <w:pPr>
        <w:jc w:val="both"/>
        <w:rPr>
          <w:rFonts w:ascii="Times New Roman" w:hAnsi="Times New Roman" w:cs="Times New Roman"/>
          <w:sz w:val="24"/>
          <w:szCs w:val="24"/>
        </w:rPr>
      </w:pPr>
      <w:r w:rsidRPr="0058254B">
        <w:rPr>
          <w:rFonts w:ascii="Times New Roman" w:hAnsi="Times New Roman" w:cs="Times New Roman"/>
          <w:sz w:val="24"/>
          <w:szCs w:val="24"/>
        </w:rPr>
        <w:t xml:space="preserve">All </w:t>
      </w:r>
      <w:r w:rsidR="0020364D">
        <w:rPr>
          <w:rFonts w:ascii="Times New Roman" w:hAnsi="Times New Roman" w:cs="Times New Roman"/>
          <w:sz w:val="24"/>
          <w:szCs w:val="24"/>
        </w:rPr>
        <w:t>licensed fiduciaries</w:t>
      </w:r>
      <w:r w:rsidRPr="0058254B">
        <w:rPr>
          <w:rFonts w:ascii="Times New Roman" w:hAnsi="Times New Roman" w:cs="Times New Roman"/>
          <w:sz w:val="24"/>
          <w:szCs w:val="24"/>
        </w:rPr>
        <w:t xml:space="preserve"> are hereby notified that</w:t>
      </w:r>
      <w:r w:rsidR="00393E1A" w:rsidRPr="0058254B">
        <w:rPr>
          <w:rFonts w:ascii="Times New Roman" w:hAnsi="Times New Roman" w:cs="Times New Roman"/>
          <w:sz w:val="24"/>
          <w:szCs w:val="24"/>
        </w:rPr>
        <w:t xml:space="preserve"> on the </w:t>
      </w:r>
      <w:r w:rsidR="0058254B" w:rsidRPr="0058254B">
        <w:rPr>
          <w:rFonts w:ascii="Times New Roman" w:hAnsi="Times New Roman" w:cs="Times New Roman"/>
          <w:sz w:val="24"/>
          <w:szCs w:val="24"/>
        </w:rPr>
        <w:t>1 November</w:t>
      </w:r>
      <w:r w:rsidR="0058254B">
        <w:rPr>
          <w:rFonts w:ascii="Times New Roman" w:hAnsi="Times New Roman" w:cs="Times New Roman"/>
          <w:sz w:val="24"/>
          <w:szCs w:val="24"/>
        </w:rPr>
        <w:t xml:space="preserve"> 2021</w:t>
      </w:r>
      <w:r w:rsidR="0058254B" w:rsidRPr="0058254B">
        <w:rPr>
          <w:rFonts w:ascii="Times New Roman" w:hAnsi="Times New Roman" w:cs="Times New Roman"/>
          <w:sz w:val="24"/>
          <w:szCs w:val="24"/>
        </w:rPr>
        <w:t xml:space="preserve"> the Commission will use its powers under Section 61(1)(b) of the 2020 Fiduciaries Law and Rule 1A.1(1)(b) of the proposed Fiduciary Rules, 2021</w:t>
      </w:r>
      <w:r w:rsidR="0058254B">
        <w:rPr>
          <w:rFonts w:ascii="Times New Roman" w:hAnsi="Times New Roman" w:cs="Times New Roman"/>
          <w:sz w:val="24"/>
          <w:szCs w:val="24"/>
        </w:rPr>
        <w:t xml:space="preserve"> </w:t>
      </w:r>
      <w:r w:rsidR="0058254B" w:rsidRPr="0058254B">
        <w:rPr>
          <w:rFonts w:ascii="Times New Roman" w:hAnsi="Times New Roman" w:cs="Times New Roman"/>
          <w:sz w:val="24"/>
          <w:szCs w:val="24"/>
        </w:rPr>
        <w:t xml:space="preserve">(upon </w:t>
      </w:r>
      <w:r w:rsidR="0058254B">
        <w:rPr>
          <w:rFonts w:ascii="Times New Roman" w:hAnsi="Times New Roman" w:cs="Times New Roman"/>
          <w:sz w:val="24"/>
          <w:szCs w:val="24"/>
        </w:rPr>
        <w:t>the</w:t>
      </w:r>
      <w:r w:rsidR="0058254B" w:rsidRPr="0058254B">
        <w:rPr>
          <w:rFonts w:ascii="Times New Roman" w:hAnsi="Times New Roman" w:cs="Times New Roman"/>
          <w:sz w:val="24"/>
          <w:szCs w:val="24"/>
        </w:rPr>
        <w:t xml:space="preserve"> </w:t>
      </w:r>
      <w:r w:rsidR="00A42AF2">
        <w:rPr>
          <w:rFonts w:ascii="Times New Roman" w:hAnsi="Times New Roman" w:cs="Times New Roman"/>
          <w:sz w:val="24"/>
          <w:szCs w:val="24"/>
        </w:rPr>
        <w:t>commencement</w:t>
      </w:r>
      <w:r w:rsidR="0058254B">
        <w:rPr>
          <w:rFonts w:ascii="Times New Roman" w:hAnsi="Times New Roman" w:cs="Times New Roman"/>
          <w:sz w:val="24"/>
          <w:szCs w:val="24"/>
        </w:rPr>
        <w:t xml:space="preserve"> of this legislation on the same day</w:t>
      </w:r>
      <w:r w:rsidR="0058254B" w:rsidRPr="0058254B">
        <w:rPr>
          <w:rFonts w:ascii="Times New Roman" w:hAnsi="Times New Roman" w:cs="Times New Roman"/>
          <w:sz w:val="24"/>
          <w:szCs w:val="24"/>
        </w:rPr>
        <w:t>)</w:t>
      </w:r>
      <w:r w:rsidR="0058254B">
        <w:rPr>
          <w:rFonts w:ascii="Times New Roman" w:hAnsi="Times New Roman" w:cs="Times New Roman"/>
          <w:sz w:val="24"/>
          <w:szCs w:val="24"/>
        </w:rPr>
        <w:t xml:space="preserve"> to </w:t>
      </w:r>
      <w:r w:rsidR="0020364D">
        <w:rPr>
          <w:rFonts w:ascii="Times New Roman" w:hAnsi="Times New Roman" w:cs="Times New Roman"/>
          <w:sz w:val="24"/>
          <w:szCs w:val="24"/>
        </w:rPr>
        <w:t>convert the fiduciary licences of entities categorised as Joint Licensees as at 31 October to secondary fiduciary licences.</w:t>
      </w:r>
    </w:p>
    <w:p w14:paraId="6536A798" w14:textId="6E94D106" w:rsidR="00393E1A" w:rsidRDefault="00393E1A" w:rsidP="00393E1A">
      <w:pPr>
        <w:jc w:val="both"/>
        <w:rPr>
          <w:rFonts w:ascii="Times New Roman" w:hAnsi="Times New Roman" w:cs="Times New Roman"/>
          <w:sz w:val="24"/>
          <w:szCs w:val="24"/>
        </w:rPr>
      </w:pPr>
      <w:r w:rsidRPr="00393E1A">
        <w:rPr>
          <w:rFonts w:ascii="Times New Roman" w:hAnsi="Times New Roman" w:cs="Times New Roman"/>
          <w:sz w:val="24"/>
          <w:szCs w:val="24"/>
        </w:rPr>
        <w:t xml:space="preserve">Please note that, if the Commission has not received clear communication from </w:t>
      </w:r>
      <w:r w:rsidR="006F3205">
        <w:rPr>
          <w:rFonts w:ascii="Times New Roman" w:hAnsi="Times New Roman" w:cs="Times New Roman"/>
          <w:sz w:val="24"/>
          <w:szCs w:val="24"/>
        </w:rPr>
        <w:t>a</w:t>
      </w:r>
      <w:r w:rsidRPr="00393E1A">
        <w:rPr>
          <w:rFonts w:ascii="Times New Roman" w:hAnsi="Times New Roman" w:cs="Times New Roman"/>
          <w:sz w:val="24"/>
          <w:szCs w:val="24"/>
        </w:rPr>
        <w:t xml:space="preserve"> current Joint </w:t>
      </w:r>
      <w:r w:rsidR="006F3205">
        <w:rPr>
          <w:rFonts w:ascii="Times New Roman" w:hAnsi="Times New Roman" w:cs="Times New Roman"/>
          <w:sz w:val="24"/>
          <w:szCs w:val="24"/>
        </w:rPr>
        <w:t>Licensee</w:t>
      </w:r>
      <w:r w:rsidRPr="00393E1A">
        <w:rPr>
          <w:rFonts w:ascii="Times New Roman" w:hAnsi="Times New Roman" w:cs="Times New Roman"/>
          <w:sz w:val="24"/>
          <w:szCs w:val="24"/>
        </w:rPr>
        <w:t xml:space="preserve"> by </w:t>
      </w:r>
      <w:r w:rsidR="006F3205">
        <w:rPr>
          <w:rFonts w:ascii="Times New Roman" w:hAnsi="Times New Roman" w:cs="Times New Roman"/>
          <w:sz w:val="24"/>
          <w:szCs w:val="24"/>
        </w:rPr>
        <w:t>31 October 2021</w:t>
      </w:r>
      <w:r w:rsidRPr="00393E1A">
        <w:rPr>
          <w:rFonts w:ascii="Times New Roman" w:hAnsi="Times New Roman" w:cs="Times New Roman"/>
          <w:sz w:val="24"/>
          <w:szCs w:val="24"/>
        </w:rPr>
        <w:t xml:space="preserve"> advising that it does </w:t>
      </w:r>
      <w:r w:rsidRPr="00571EDB">
        <w:rPr>
          <w:rFonts w:ascii="Times New Roman" w:hAnsi="Times New Roman" w:cs="Times New Roman"/>
          <w:sz w:val="24"/>
          <w:szCs w:val="24"/>
          <w:u w:val="single"/>
        </w:rPr>
        <w:t>not</w:t>
      </w:r>
      <w:r w:rsidRPr="00393E1A">
        <w:rPr>
          <w:rFonts w:ascii="Times New Roman" w:hAnsi="Times New Roman" w:cs="Times New Roman"/>
          <w:sz w:val="24"/>
          <w:szCs w:val="24"/>
        </w:rPr>
        <w:t xml:space="preserve"> wish to be re-categorised as a </w:t>
      </w:r>
      <w:r w:rsidR="003B14A1">
        <w:rPr>
          <w:rFonts w:ascii="Times New Roman" w:hAnsi="Times New Roman" w:cs="Times New Roman"/>
          <w:sz w:val="24"/>
          <w:szCs w:val="24"/>
        </w:rPr>
        <w:t>s</w:t>
      </w:r>
      <w:r w:rsidRPr="00393E1A">
        <w:rPr>
          <w:rFonts w:ascii="Times New Roman" w:hAnsi="Times New Roman" w:cs="Times New Roman"/>
          <w:sz w:val="24"/>
          <w:szCs w:val="24"/>
        </w:rPr>
        <w:t xml:space="preserve">econdary </w:t>
      </w:r>
      <w:r w:rsidR="003B14A1">
        <w:rPr>
          <w:rFonts w:ascii="Times New Roman" w:hAnsi="Times New Roman" w:cs="Times New Roman"/>
          <w:sz w:val="24"/>
          <w:szCs w:val="24"/>
        </w:rPr>
        <w:t>l</w:t>
      </w:r>
      <w:r w:rsidRPr="00393E1A">
        <w:rPr>
          <w:rFonts w:ascii="Times New Roman" w:hAnsi="Times New Roman" w:cs="Times New Roman"/>
          <w:sz w:val="24"/>
          <w:szCs w:val="24"/>
        </w:rPr>
        <w:t xml:space="preserve">icensee, the </w:t>
      </w:r>
      <w:r w:rsidR="003B14A1">
        <w:rPr>
          <w:rFonts w:ascii="Times New Roman" w:hAnsi="Times New Roman" w:cs="Times New Roman"/>
          <w:sz w:val="24"/>
          <w:szCs w:val="24"/>
        </w:rPr>
        <w:t>l</w:t>
      </w:r>
      <w:r w:rsidRPr="00393E1A">
        <w:rPr>
          <w:rFonts w:ascii="Times New Roman" w:hAnsi="Times New Roman" w:cs="Times New Roman"/>
          <w:sz w:val="24"/>
          <w:szCs w:val="24"/>
        </w:rPr>
        <w:t>icensee will be deemed to have agreed:</w:t>
      </w:r>
    </w:p>
    <w:p w14:paraId="13D80D4F" w14:textId="77777777" w:rsidR="00393E1A" w:rsidRDefault="00393E1A" w:rsidP="006F3205">
      <w:pPr>
        <w:ind w:left="720"/>
        <w:jc w:val="both"/>
        <w:rPr>
          <w:rFonts w:ascii="Times New Roman" w:hAnsi="Times New Roman" w:cs="Times New Roman"/>
          <w:sz w:val="24"/>
          <w:szCs w:val="24"/>
        </w:rPr>
      </w:pPr>
      <w:r w:rsidRPr="00393E1A">
        <w:rPr>
          <w:rFonts w:ascii="Times New Roman" w:hAnsi="Times New Roman" w:cs="Times New Roman"/>
          <w:sz w:val="24"/>
          <w:szCs w:val="24"/>
        </w:rPr>
        <w:t xml:space="preserve">1) to the conversion under Section 61(1)(b) of the 2020 Fiduciaries Law (upon its coming into operation) and Rule 1A.1(1)(b) of the proposed Fiduciary Rules, 2021, and </w:t>
      </w:r>
    </w:p>
    <w:p w14:paraId="12CA9E4D" w14:textId="77777777" w:rsidR="006F3205" w:rsidRDefault="00393E1A" w:rsidP="006F3205">
      <w:pPr>
        <w:ind w:left="720"/>
        <w:jc w:val="both"/>
        <w:rPr>
          <w:rFonts w:ascii="Times New Roman" w:hAnsi="Times New Roman" w:cs="Times New Roman"/>
          <w:sz w:val="24"/>
          <w:szCs w:val="24"/>
        </w:rPr>
      </w:pPr>
      <w:r w:rsidRPr="00393E1A">
        <w:rPr>
          <w:rFonts w:ascii="Times New Roman" w:hAnsi="Times New Roman" w:cs="Times New Roman"/>
          <w:sz w:val="24"/>
          <w:szCs w:val="24"/>
        </w:rPr>
        <w:t xml:space="preserve">2) that it meets the requirements of Section 4(3)(a) of the 2020 Fiduciaries Law (upon its coming into operation) and Rule 1A.2(2) of the proposed Fiduciary Rules, 2021 regarding trading actively. </w:t>
      </w:r>
    </w:p>
    <w:p w14:paraId="5D4ED4C0" w14:textId="7243B4D1" w:rsidR="006F3205" w:rsidRPr="0058254B" w:rsidRDefault="006F3205" w:rsidP="006F3205">
      <w:pPr>
        <w:jc w:val="both"/>
        <w:rPr>
          <w:rFonts w:ascii="Times New Roman" w:hAnsi="Times New Roman" w:cs="Times New Roman"/>
          <w:sz w:val="24"/>
          <w:szCs w:val="24"/>
        </w:rPr>
      </w:pPr>
      <w:r>
        <w:rPr>
          <w:rFonts w:ascii="Times New Roman" w:hAnsi="Times New Roman" w:cs="Times New Roman"/>
          <w:sz w:val="24"/>
          <w:szCs w:val="24"/>
        </w:rPr>
        <w:t>Following conversion</w:t>
      </w:r>
      <w:r w:rsidR="007928FF">
        <w:rPr>
          <w:rFonts w:ascii="Times New Roman" w:hAnsi="Times New Roman" w:cs="Times New Roman"/>
          <w:sz w:val="24"/>
          <w:szCs w:val="24"/>
        </w:rPr>
        <w:t xml:space="preserve"> of a licensee from a Joint Licensee to a secondary fiduciary licensee</w:t>
      </w:r>
      <w:r>
        <w:rPr>
          <w:rFonts w:ascii="Times New Roman" w:hAnsi="Times New Roman" w:cs="Times New Roman"/>
          <w:sz w:val="24"/>
          <w:szCs w:val="24"/>
        </w:rPr>
        <w:t>, t</w:t>
      </w:r>
      <w:r w:rsidRPr="00393E1A">
        <w:rPr>
          <w:rFonts w:ascii="Times New Roman" w:hAnsi="Times New Roman" w:cs="Times New Roman"/>
          <w:sz w:val="24"/>
          <w:szCs w:val="24"/>
        </w:rPr>
        <w:t xml:space="preserve">he Commission </w:t>
      </w:r>
      <w:r>
        <w:rPr>
          <w:rFonts w:ascii="Times New Roman" w:hAnsi="Times New Roman" w:cs="Times New Roman"/>
          <w:sz w:val="24"/>
          <w:szCs w:val="24"/>
        </w:rPr>
        <w:t>will also</w:t>
      </w:r>
      <w:r w:rsidR="007928FF">
        <w:rPr>
          <w:rFonts w:ascii="Times New Roman" w:hAnsi="Times New Roman" w:cs="Times New Roman"/>
          <w:sz w:val="24"/>
          <w:szCs w:val="24"/>
        </w:rPr>
        <w:t xml:space="preserve"> designate</w:t>
      </w:r>
      <w:r w:rsidRPr="00393E1A">
        <w:rPr>
          <w:rFonts w:ascii="Times New Roman" w:hAnsi="Times New Roman" w:cs="Times New Roman"/>
          <w:sz w:val="24"/>
          <w:szCs w:val="24"/>
        </w:rPr>
        <w:t xml:space="preserve"> the entity which</w:t>
      </w:r>
      <w:r w:rsidR="007928FF">
        <w:rPr>
          <w:rFonts w:ascii="Times New Roman" w:hAnsi="Times New Roman" w:cs="Times New Roman"/>
          <w:sz w:val="24"/>
          <w:szCs w:val="24"/>
        </w:rPr>
        <w:t xml:space="preserve"> prior to conversion</w:t>
      </w:r>
      <w:r w:rsidRPr="00393E1A">
        <w:rPr>
          <w:rFonts w:ascii="Times New Roman" w:hAnsi="Times New Roman" w:cs="Times New Roman"/>
          <w:sz w:val="24"/>
          <w:szCs w:val="24"/>
        </w:rPr>
        <w:t xml:space="preserve"> </w:t>
      </w:r>
      <w:r w:rsidR="007928FF">
        <w:rPr>
          <w:rFonts w:ascii="Times New Roman" w:hAnsi="Times New Roman" w:cs="Times New Roman"/>
          <w:sz w:val="24"/>
          <w:szCs w:val="24"/>
        </w:rPr>
        <w:t xml:space="preserve">was </w:t>
      </w:r>
      <w:r w:rsidRPr="00393E1A">
        <w:rPr>
          <w:rFonts w:ascii="Times New Roman" w:hAnsi="Times New Roman" w:cs="Times New Roman"/>
          <w:sz w:val="24"/>
          <w:szCs w:val="24"/>
        </w:rPr>
        <w:t xml:space="preserve">recorded as the Lead Licensee for </w:t>
      </w:r>
      <w:r w:rsidR="007928FF">
        <w:rPr>
          <w:rFonts w:ascii="Times New Roman" w:hAnsi="Times New Roman" w:cs="Times New Roman"/>
          <w:sz w:val="24"/>
          <w:szCs w:val="24"/>
        </w:rPr>
        <w:t>that</w:t>
      </w:r>
      <w:r w:rsidRPr="00393E1A">
        <w:rPr>
          <w:rFonts w:ascii="Times New Roman" w:hAnsi="Times New Roman" w:cs="Times New Roman"/>
          <w:sz w:val="24"/>
          <w:szCs w:val="24"/>
        </w:rPr>
        <w:t xml:space="preserve"> Joint Licensee, as the designated </w:t>
      </w:r>
      <w:r w:rsidR="007928FF">
        <w:rPr>
          <w:rFonts w:ascii="Times New Roman" w:hAnsi="Times New Roman" w:cs="Times New Roman"/>
          <w:sz w:val="24"/>
          <w:szCs w:val="24"/>
        </w:rPr>
        <w:t>p</w:t>
      </w:r>
      <w:r w:rsidRPr="00393E1A">
        <w:rPr>
          <w:rFonts w:ascii="Times New Roman" w:hAnsi="Times New Roman" w:cs="Times New Roman"/>
          <w:sz w:val="24"/>
          <w:szCs w:val="24"/>
        </w:rPr>
        <w:t>rimary</w:t>
      </w:r>
      <w:r w:rsidR="007928FF">
        <w:rPr>
          <w:rFonts w:ascii="Times New Roman" w:hAnsi="Times New Roman" w:cs="Times New Roman"/>
          <w:sz w:val="24"/>
          <w:szCs w:val="24"/>
        </w:rPr>
        <w:t xml:space="preserve"> fiduciary</w:t>
      </w:r>
      <w:r w:rsidRPr="00393E1A">
        <w:rPr>
          <w:rFonts w:ascii="Times New Roman" w:hAnsi="Times New Roman" w:cs="Times New Roman"/>
          <w:sz w:val="24"/>
          <w:szCs w:val="24"/>
        </w:rPr>
        <w:t xml:space="preserve"> </w:t>
      </w:r>
      <w:r w:rsidR="007928FF">
        <w:rPr>
          <w:rFonts w:ascii="Times New Roman" w:hAnsi="Times New Roman" w:cs="Times New Roman"/>
          <w:sz w:val="24"/>
          <w:szCs w:val="24"/>
        </w:rPr>
        <w:t>l</w:t>
      </w:r>
      <w:r w:rsidRPr="00393E1A">
        <w:rPr>
          <w:rFonts w:ascii="Times New Roman" w:hAnsi="Times New Roman" w:cs="Times New Roman"/>
          <w:sz w:val="24"/>
          <w:szCs w:val="24"/>
        </w:rPr>
        <w:t xml:space="preserve">icensee </w:t>
      </w:r>
      <w:r w:rsidR="007928FF">
        <w:rPr>
          <w:rFonts w:ascii="Times New Roman" w:hAnsi="Times New Roman" w:cs="Times New Roman"/>
          <w:sz w:val="24"/>
          <w:szCs w:val="24"/>
        </w:rPr>
        <w:t>to the new secondary fiduciary licensee</w:t>
      </w:r>
      <w:r w:rsidRPr="00393E1A">
        <w:rPr>
          <w:rFonts w:ascii="Times New Roman" w:hAnsi="Times New Roman" w:cs="Times New Roman"/>
          <w:sz w:val="24"/>
          <w:szCs w:val="24"/>
        </w:rPr>
        <w:t>, provid</w:t>
      </w:r>
      <w:r w:rsidR="007928FF">
        <w:rPr>
          <w:rFonts w:ascii="Times New Roman" w:hAnsi="Times New Roman" w:cs="Times New Roman"/>
          <w:sz w:val="24"/>
          <w:szCs w:val="24"/>
        </w:rPr>
        <w:t>ed</w:t>
      </w:r>
      <w:r w:rsidRPr="00393E1A">
        <w:rPr>
          <w:rFonts w:ascii="Times New Roman" w:hAnsi="Times New Roman" w:cs="Times New Roman"/>
          <w:sz w:val="24"/>
          <w:szCs w:val="24"/>
        </w:rPr>
        <w:t xml:space="preserve"> the Commission does not receive notification to the contrary prior to the </w:t>
      </w:r>
      <w:r w:rsidR="00A42AF2">
        <w:rPr>
          <w:rFonts w:ascii="Times New Roman" w:hAnsi="Times New Roman" w:cs="Times New Roman"/>
          <w:sz w:val="24"/>
          <w:szCs w:val="24"/>
        </w:rPr>
        <w:t xml:space="preserve">commencement </w:t>
      </w:r>
      <w:r w:rsidRPr="00393E1A">
        <w:rPr>
          <w:rFonts w:ascii="Times New Roman" w:hAnsi="Times New Roman" w:cs="Times New Roman"/>
          <w:sz w:val="24"/>
          <w:szCs w:val="24"/>
        </w:rPr>
        <w:t>date.</w:t>
      </w:r>
    </w:p>
    <w:p w14:paraId="738BDCCB" w14:textId="2A7CB59B" w:rsidR="00A42AF2" w:rsidRDefault="00A42AF2">
      <w:pPr>
        <w:rPr>
          <w:rFonts w:ascii="Times New Roman" w:hAnsi="Times New Roman" w:cs="Times New Roman"/>
          <w:sz w:val="24"/>
          <w:szCs w:val="24"/>
        </w:rPr>
      </w:pPr>
      <w:r>
        <w:rPr>
          <w:rFonts w:ascii="Times New Roman" w:hAnsi="Times New Roman" w:cs="Times New Roman"/>
          <w:sz w:val="24"/>
          <w:szCs w:val="24"/>
        </w:rPr>
        <w:br w:type="page"/>
      </w:r>
    </w:p>
    <w:p w14:paraId="0D4FC292" w14:textId="30A283C5" w:rsidR="00393E1A" w:rsidRDefault="00A42AF2" w:rsidP="00393E1A">
      <w:pPr>
        <w:jc w:val="both"/>
        <w:rPr>
          <w:rFonts w:ascii="Times New Roman" w:hAnsi="Times New Roman" w:cs="Times New Roman"/>
          <w:sz w:val="32"/>
          <w:szCs w:val="32"/>
        </w:rPr>
      </w:pPr>
      <w:r w:rsidRPr="00A42AF2">
        <w:rPr>
          <w:rFonts w:ascii="Times New Roman" w:hAnsi="Times New Roman" w:cs="Times New Roman"/>
          <w:sz w:val="32"/>
          <w:szCs w:val="32"/>
        </w:rPr>
        <w:lastRenderedPageBreak/>
        <w:t>Explanatory Note</w:t>
      </w:r>
    </w:p>
    <w:p w14:paraId="65A5DA28" w14:textId="26AF1636" w:rsidR="00A42AF2" w:rsidRDefault="00A42AF2" w:rsidP="00393E1A">
      <w:pPr>
        <w:jc w:val="both"/>
        <w:rPr>
          <w:rFonts w:ascii="Times New Roman" w:hAnsi="Times New Roman" w:cs="Times New Roman"/>
          <w:sz w:val="32"/>
          <w:szCs w:val="32"/>
        </w:rPr>
      </w:pPr>
    </w:p>
    <w:p w14:paraId="25F3DBC1" w14:textId="661DA9E4" w:rsidR="00A42AF2" w:rsidRPr="00B81113" w:rsidRDefault="00A42AF2" w:rsidP="00393E1A">
      <w:pPr>
        <w:jc w:val="both"/>
        <w:rPr>
          <w:rFonts w:ascii="Times New Roman" w:hAnsi="Times New Roman" w:cs="Times New Roman"/>
          <w:b/>
          <w:bCs/>
          <w:sz w:val="24"/>
          <w:szCs w:val="24"/>
        </w:rPr>
      </w:pPr>
      <w:r w:rsidRPr="00B81113">
        <w:rPr>
          <w:rFonts w:ascii="Times New Roman" w:hAnsi="Times New Roman" w:cs="Times New Roman"/>
          <w:b/>
          <w:bCs/>
          <w:sz w:val="24"/>
          <w:szCs w:val="24"/>
        </w:rPr>
        <w:t>What is happening?</w:t>
      </w:r>
    </w:p>
    <w:p w14:paraId="1B0B6EC4" w14:textId="6C0D53C7" w:rsidR="00A42AF2" w:rsidRDefault="00B81113" w:rsidP="00393E1A">
      <w:pPr>
        <w:jc w:val="both"/>
        <w:rPr>
          <w:rFonts w:ascii="Times New Roman" w:hAnsi="Times New Roman" w:cs="Times New Roman"/>
          <w:sz w:val="24"/>
          <w:szCs w:val="24"/>
        </w:rPr>
      </w:pPr>
      <w:r w:rsidRPr="00B81113">
        <w:rPr>
          <w:rFonts w:ascii="Times New Roman" w:hAnsi="Times New Roman" w:cs="Times New Roman"/>
          <w:sz w:val="24"/>
          <w:szCs w:val="24"/>
        </w:rPr>
        <w:t xml:space="preserve">On the </w:t>
      </w:r>
      <w:r>
        <w:rPr>
          <w:rFonts w:ascii="Times New Roman" w:hAnsi="Times New Roman" w:cs="Times New Roman"/>
          <w:sz w:val="24"/>
          <w:szCs w:val="24"/>
        </w:rPr>
        <w:t>1 November</w:t>
      </w:r>
      <w:r w:rsidR="00571EDB">
        <w:rPr>
          <w:rFonts w:ascii="Times New Roman" w:hAnsi="Times New Roman" w:cs="Times New Roman"/>
          <w:sz w:val="24"/>
          <w:szCs w:val="24"/>
        </w:rPr>
        <w:t xml:space="preserve"> 2021</w:t>
      </w:r>
      <w:r>
        <w:rPr>
          <w:rFonts w:ascii="Times New Roman" w:hAnsi="Times New Roman" w:cs="Times New Roman"/>
          <w:sz w:val="24"/>
          <w:szCs w:val="24"/>
        </w:rPr>
        <w:t xml:space="preserve"> when the new revised Fiduciaries Law comes into force Lead Licensees will be re-categorised as primary fiduciary licensees and Joint Licensees will be re-categorised as secondary fiduciary licensees.</w:t>
      </w:r>
      <w:r w:rsidR="00853784">
        <w:rPr>
          <w:rFonts w:ascii="Times New Roman" w:hAnsi="Times New Roman" w:cs="Times New Roman"/>
          <w:sz w:val="24"/>
          <w:szCs w:val="24"/>
        </w:rPr>
        <w:t xml:space="preserve"> </w:t>
      </w:r>
      <w:r w:rsidR="00847D3F">
        <w:rPr>
          <w:rFonts w:ascii="Times New Roman" w:hAnsi="Times New Roman" w:cs="Times New Roman"/>
          <w:sz w:val="24"/>
          <w:szCs w:val="24"/>
        </w:rPr>
        <w:t>These changes reflect the proposals made in the Commission’s Consultation Paper issued on 17 June 2021</w:t>
      </w:r>
      <w:r w:rsidR="00847D3F">
        <w:rPr>
          <w:rStyle w:val="FootnoteReference"/>
          <w:rFonts w:ascii="Times New Roman" w:hAnsi="Times New Roman" w:cs="Times New Roman"/>
          <w:sz w:val="24"/>
          <w:szCs w:val="24"/>
        </w:rPr>
        <w:footnoteReference w:id="2"/>
      </w:r>
      <w:r w:rsidR="00847D3F">
        <w:rPr>
          <w:rFonts w:ascii="Times New Roman" w:hAnsi="Times New Roman" w:cs="Times New Roman"/>
          <w:sz w:val="24"/>
          <w:szCs w:val="24"/>
        </w:rPr>
        <w:t>.</w:t>
      </w:r>
    </w:p>
    <w:p w14:paraId="518E2C12" w14:textId="563D91F8" w:rsidR="00B81113" w:rsidRDefault="00B81113" w:rsidP="00393E1A">
      <w:pPr>
        <w:jc w:val="both"/>
        <w:rPr>
          <w:rFonts w:ascii="Times New Roman" w:hAnsi="Times New Roman" w:cs="Times New Roman"/>
          <w:sz w:val="24"/>
          <w:szCs w:val="24"/>
        </w:rPr>
      </w:pPr>
    </w:p>
    <w:p w14:paraId="1315B25C" w14:textId="4CEE767E" w:rsidR="00B81113" w:rsidRPr="00B81113" w:rsidRDefault="00B81113" w:rsidP="00393E1A">
      <w:pPr>
        <w:jc w:val="both"/>
        <w:rPr>
          <w:rFonts w:ascii="Times New Roman" w:hAnsi="Times New Roman" w:cs="Times New Roman"/>
          <w:b/>
          <w:bCs/>
          <w:sz w:val="24"/>
          <w:szCs w:val="24"/>
        </w:rPr>
      </w:pPr>
      <w:r w:rsidRPr="00B81113">
        <w:rPr>
          <w:rFonts w:ascii="Times New Roman" w:hAnsi="Times New Roman" w:cs="Times New Roman"/>
          <w:b/>
          <w:bCs/>
          <w:sz w:val="24"/>
          <w:szCs w:val="24"/>
        </w:rPr>
        <w:t>Do licensees need to communicate with the Commission?</w:t>
      </w:r>
    </w:p>
    <w:p w14:paraId="3D1EEAAC" w14:textId="699B6912" w:rsidR="00A42AF2" w:rsidRDefault="00B81113" w:rsidP="00393E1A">
      <w:pPr>
        <w:jc w:val="both"/>
        <w:rPr>
          <w:rFonts w:ascii="Times New Roman" w:hAnsi="Times New Roman" w:cs="Times New Roman"/>
          <w:sz w:val="24"/>
          <w:szCs w:val="24"/>
        </w:rPr>
      </w:pPr>
      <w:r w:rsidRPr="00B81113">
        <w:rPr>
          <w:rFonts w:ascii="Times New Roman" w:hAnsi="Times New Roman" w:cs="Times New Roman"/>
          <w:sz w:val="24"/>
          <w:szCs w:val="24"/>
        </w:rPr>
        <w:t xml:space="preserve">In most cases no action is required </w:t>
      </w:r>
      <w:r>
        <w:rPr>
          <w:rFonts w:ascii="Times New Roman" w:hAnsi="Times New Roman" w:cs="Times New Roman"/>
          <w:sz w:val="24"/>
          <w:szCs w:val="24"/>
        </w:rPr>
        <w:t>by licensees as re-categorisation will occur automatically. Licensees should contact the Commission if they wish to convert a joint/</w:t>
      </w:r>
      <w:r w:rsidR="00853784">
        <w:rPr>
          <w:rFonts w:ascii="Times New Roman" w:hAnsi="Times New Roman" w:cs="Times New Roman"/>
          <w:sz w:val="24"/>
          <w:szCs w:val="24"/>
        </w:rPr>
        <w:t>secondary</w:t>
      </w:r>
      <w:r>
        <w:rPr>
          <w:rFonts w:ascii="Times New Roman" w:hAnsi="Times New Roman" w:cs="Times New Roman"/>
          <w:sz w:val="24"/>
          <w:szCs w:val="24"/>
        </w:rPr>
        <w:t xml:space="preserve"> fiduciary licensee to a lead/primary fiduciary licensee or vice versa, or if they have any questions about the re-categorisation process.</w:t>
      </w:r>
    </w:p>
    <w:p w14:paraId="062A0160" w14:textId="3F9BE3FC" w:rsidR="00842CA9" w:rsidRDefault="00842CA9" w:rsidP="00842CA9">
      <w:pPr>
        <w:jc w:val="both"/>
        <w:rPr>
          <w:rFonts w:ascii="Times New Roman" w:hAnsi="Times New Roman" w:cs="Times New Roman"/>
          <w:sz w:val="24"/>
          <w:szCs w:val="24"/>
        </w:rPr>
      </w:pPr>
      <w:r>
        <w:rPr>
          <w:rFonts w:ascii="Times New Roman" w:hAnsi="Times New Roman" w:cs="Times New Roman"/>
          <w:sz w:val="24"/>
          <w:szCs w:val="24"/>
        </w:rPr>
        <w:t xml:space="preserve">If a Joint Licensee advises the Commission that it does not wish to be re-categorised as a secondary fiduciary licensee from 1 November 2021 a new licence application would be required to be made to the Commission evidencing the significant changes in business model and operations necessary to satisfy the Commission that the licensee would meet the </w:t>
      </w:r>
      <w:r w:rsidR="00847D3F">
        <w:rPr>
          <w:rFonts w:ascii="Times New Roman" w:hAnsi="Times New Roman" w:cs="Times New Roman"/>
          <w:sz w:val="24"/>
          <w:szCs w:val="24"/>
        </w:rPr>
        <w:t xml:space="preserve">criteria </w:t>
      </w:r>
      <w:r>
        <w:rPr>
          <w:rFonts w:ascii="Times New Roman" w:hAnsi="Times New Roman" w:cs="Times New Roman"/>
          <w:sz w:val="24"/>
          <w:szCs w:val="24"/>
        </w:rPr>
        <w:t xml:space="preserve">to continue to be licensed under the </w:t>
      </w:r>
      <w:r w:rsidR="00847D3F">
        <w:rPr>
          <w:rFonts w:ascii="Times New Roman" w:hAnsi="Times New Roman" w:cs="Times New Roman"/>
          <w:sz w:val="24"/>
          <w:szCs w:val="24"/>
        </w:rPr>
        <w:t>2020 Fiduciaries Law and</w:t>
      </w:r>
      <w:r>
        <w:rPr>
          <w:rFonts w:ascii="Times New Roman" w:hAnsi="Times New Roman" w:cs="Times New Roman"/>
          <w:sz w:val="24"/>
          <w:szCs w:val="24"/>
        </w:rPr>
        <w:t xml:space="preserve"> categorised as a primary fiduciary licensee.</w:t>
      </w:r>
    </w:p>
    <w:p w14:paraId="4649724D" w14:textId="0AB2CB58" w:rsidR="00B81113" w:rsidRDefault="00B81113" w:rsidP="00393E1A">
      <w:pPr>
        <w:jc w:val="both"/>
        <w:rPr>
          <w:rFonts w:ascii="Times New Roman" w:hAnsi="Times New Roman" w:cs="Times New Roman"/>
          <w:sz w:val="24"/>
          <w:szCs w:val="24"/>
        </w:rPr>
      </w:pPr>
    </w:p>
    <w:p w14:paraId="082F9A81" w14:textId="2FB4B712" w:rsidR="00B81113" w:rsidRDefault="00B81113" w:rsidP="00393E1A">
      <w:pPr>
        <w:jc w:val="both"/>
        <w:rPr>
          <w:rFonts w:ascii="Times New Roman" w:hAnsi="Times New Roman" w:cs="Times New Roman"/>
          <w:b/>
          <w:bCs/>
          <w:sz w:val="24"/>
          <w:szCs w:val="24"/>
        </w:rPr>
      </w:pPr>
      <w:r w:rsidRPr="00B81113">
        <w:rPr>
          <w:rFonts w:ascii="Times New Roman" w:hAnsi="Times New Roman" w:cs="Times New Roman"/>
          <w:b/>
          <w:bCs/>
          <w:sz w:val="24"/>
          <w:szCs w:val="24"/>
        </w:rPr>
        <w:t>How do I establish the current categorisation of a fiduciary licensee?</w:t>
      </w:r>
    </w:p>
    <w:p w14:paraId="42E009A0" w14:textId="40980158" w:rsidR="00B81113" w:rsidRDefault="00727E69" w:rsidP="00393E1A">
      <w:pPr>
        <w:jc w:val="both"/>
        <w:rPr>
          <w:rFonts w:ascii="Times New Roman" w:hAnsi="Times New Roman" w:cs="Times New Roman"/>
          <w:sz w:val="24"/>
          <w:szCs w:val="24"/>
        </w:rPr>
      </w:pPr>
      <w:r w:rsidRPr="00727E69">
        <w:rPr>
          <w:rFonts w:ascii="Times New Roman" w:hAnsi="Times New Roman" w:cs="Times New Roman"/>
          <w:sz w:val="24"/>
          <w:szCs w:val="24"/>
        </w:rPr>
        <w:t>A Lead Licensee is the entity identified as the lead applicant at the time of</w:t>
      </w:r>
      <w:r>
        <w:rPr>
          <w:rFonts w:ascii="Times New Roman" w:hAnsi="Times New Roman" w:cs="Times New Roman"/>
          <w:sz w:val="24"/>
          <w:szCs w:val="24"/>
        </w:rPr>
        <w:t xml:space="preserve"> a</w:t>
      </w:r>
      <w:r w:rsidRPr="00727E69">
        <w:rPr>
          <w:rFonts w:ascii="Times New Roman" w:hAnsi="Times New Roman" w:cs="Times New Roman"/>
          <w:sz w:val="24"/>
          <w:szCs w:val="24"/>
        </w:rPr>
        <w:t xml:space="preserve"> licence application</w:t>
      </w:r>
      <w:r>
        <w:rPr>
          <w:rFonts w:ascii="Times New Roman" w:hAnsi="Times New Roman" w:cs="Times New Roman"/>
          <w:sz w:val="24"/>
          <w:szCs w:val="24"/>
        </w:rPr>
        <w:t xml:space="preserve"> made jointly with other applicants. The other applicants</w:t>
      </w:r>
      <w:r w:rsidR="00571EDB">
        <w:rPr>
          <w:rFonts w:ascii="Times New Roman" w:hAnsi="Times New Roman" w:cs="Times New Roman"/>
          <w:sz w:val="24"/>
          <w:szCs w:val="24"/>
        </w:rPr>
        <w:t xml:space="preserve"> are categorised as Joint Licensees.</w:t>
      </w:r>
    </w:p>
    <w:p w14:paraId="22F3F0C5" w14:textId="22C07052" w:rsidR="00853784" w:rsidRDefault="00853784" w:rsidP="00393E1A">
      <w:pPr>
        <w:jc w:val="both"/>
        <w:rPr>
          <w:rFonts w:ascii="Times New Roman" w:hAnsi="Times New Roman" w:cs="Times New Roman"/>
          <w:sz w:val="24"/>
          <w:szCs w:val="24"/>
        </w:rPr>
      </w:pPr>
      <w:r w:rsidRPr="00853784">
        <w:rPr>
          <w:rFonts w:ascii="Times New Roman" w:hAnsi="Times New Roman" w:cs="Times New Roman"/>
          <w:sz w:val="24"/>
          <w:szCs w:val="24"/>
        </w:rPr>
        <w:t xml:space="preserve">A </w:t>
      </w:r>
      <w:r>
        <w:rPr>
          <w:rFonts w:ascii="Times New Roman" w:hAnsi="Times New Roman" w:cs="Times New Roman"/>
          <w:sz w:val="24"/>
          <w:szCs w:val="24"/>
        </w:rPr>
        <w:t>L</w:t>
      </w:r>
      <w:r w:rsidRPr="00853784">
        <w:rPr>
          <w:rFonts w:ascii="Times New Roman" w:hAnsi="Times New Roman" w:cs="Times New Roman"/>
          <w:sz w:val="24"/>
          <w:szCs w:val="24"/>
        </w:rPr>
        <w:t xml:space="preserve">ead </w:t>
      </w:r>
      <w:r>
        <w:rPr>
          <w:rFonts w:ascii="Times New Roman" w:hAnsi="Times New Roman" w:cs="Times New Roman"/>
          <w:sz w:val="24"/>
          <w:szCs w:val="24"/>
        </w:rPr>
        <w:t>L</w:t>
      </w:r>
      <w:r w:rsidRPr="00853784">
        <w:rPr>
          <w:rFonts w:ascii="Times New Roman" w:hAnsi="Times New Roman" w:cs="Times New Roman"/>
          <w:sz w:val="24"/>
          <w:szCs w:val="24"/>
        </w:rPr>
        <w:t>icensee is the entity which completes a consolidated annual fiduciary return which includes their joint licensees.</w:t>
      </w:r>
    </w:p>
    <w:p w14:paraId="6568855A" w14:textId="1091EAB2" w:rsidR="00571EDB" w:rsidRDefault="00571EDB" w:rsidP="00393E1A">
      <w:pPr>
        <w:jc w:val="both"/>
        <w:rPr>
          <w:rFonts w:ascii="Times New Roman" w:hAnsi="Times New Roman" w:cs="Times New Roman"/>
          <w:sz w:val="24"/>
          <w:szCs w:val="24"/>
        </w:rPr>
      </w:pPr>
      <w:r>
        <w:rPr>
          <w:rFonts w:ascii="Times New Roman" w:hAnsi="Times New Roman" w:cs="Times New Roman"/>
          <w:sz w:val="24"/>
          <w:szCs w:val="24"/>
        </w:rPr>
        <w:t>If you are uncertain as to the current categorisation of a licensee, please</w:t>
      </w:r>
      <w:r w:rsidR="00293CD0">
        <w:rPr>
          <w:rFonts w:ascii="Times New Roman" w:hAnsi="Times New Roman" w:cs="Times New Roman"/>
          <w:sz w:val="24"/>
          <w:szCs w:val="24"/>
        </w:rPr>
        <w:t xml:space="preserve"> refer to the Commission’s website (</w:t>
      </w:r>
      <w:hyperlink r:id="rId11" w:history="1">
        <w:r w:rsidR="00293CD0" w:rsidRPr="00445CC8">
          <w:rPr>
            <w:rStyle w:val="Hyperlink"/>
            <w:rFonts w:ascii="Times New Roman" w:eastAsia="Times New Roman" w:hAnsi="Times New Roman" w:cs="Times New Roman"/>
          </w:rPr>
          <w:t>https://www.gfsc.gg/industry-sectors/fiduciary/regulated-entities</w:t>
        </w:r>
      </w:hyperlink>
      <w:r w:rsidR="00293CD0" w:rsidRPr="00293CD0">
        <w:rPr>
          <w:rFonts w:ascii="Times New Roman" w:eastAsia="Times New Roman" w:hAnsi="Times New Roman" w:cs="Times New Roman"/>
        </w:rPr>
        <w:t>)</w:t>
      </w:r>
      <w:r w:rsidR="00293CD0">
        <w:rPr>
          <w:rFonts w:ascii="Times New Roman" w:hAnsi="Times New Roman" w:cs="Times New Roman"/>
          <w:sz w:val="24"/>
          <w:szCs w:val="24"/>
        </w:rPr>
        <w:t xml:space="preserve"> or</w:t>
      </w:r>
      <w:r>
        <w:rPr>
          <w:rFonts w:ascii="Times New Roman" w:hAnsi="Times New Roman" w:cs="Times New Roman"/>
          <w:sz w:val="24"/>
          <w:szCs w:val="24"/>
        </w:rPr>
        <w:t xml:space="preserve"> contact the Commission.</w:t>
      </w:r>
    </w:p>
    <w:p w14:paraId="40C8087A" w14:textId="54FA195E" w:rsidR="00571EDB" w:rsidRDefault="00571EDB" w:rsidP="00393E1A">
      <w:pPr>
        <w:jc w:val="both"/>
        <w:rPr>
          <w:rFonts w:ascii="Times New Roman" w:hAnsi="Times New Roman" w:cs="Times New Roman"/>
          <w:sz w:val="24"/>
          <w:szCs w:val="24"/>
        </w:rPr>
      </w:pPr>
    </w:p>
    <w:p w14:paraId="19AC1E51" w14:textId="20E65245" w:rsidR="00571EDB" w:rsidRDefault="00571EDB" w:rsidP="00393E1A">
      <w:pPr>
        <w:jc w:val="both"/>
        <w:rPr>
          <w:rFonts w:ascii="Times New Roman" w:hAnsi="Times New Roman" w:cs="Times New Roman"/>
          <w:b/>
          <w:bCs/>
          <w:sz w:val="24"/>
          <w:szCs w:val="24"/>
        </w:rPr>
      </w:pPr>
      <w:r w:rsidRPr="00571EDB">
        <w:rPr>
          <w:rFonts w:ascii="Times New Roman" w:hAnsi="Times New Roman" w:cs="Times New Roman"/>
          <w:b/>
          <w:bCs/>
          <w:sz w:val="24"/>
          <w:szCs w:val="24"/>
        </w:rPr>
        <w:t>Contact the Commission</w:t>
      </w:r>
    </w:p>
    <w:p w14:paraId="3EEEE09B" w14:textId="7A308AC9" w:rsidR="00571EDB" w:rsidRDefault="00293CD0" w:rsidP="00393E1A">
      <w:pPr>
        <w:jc w:val="both"/>
        <w:rPr>
          <w:rFonts w:ascii="Times New Roman" w:hAnsi="Times New Roman" w:cs="Times New Roman"/>
          <w:sz w:val="24"/>
          <w:szCs w:val="24"/>
        </w:rPr>
      </w:pPr>
      <w:r>
        <w:rPr>
          <w:rFonts w:ascii="Times New Roman" w:hAnsi="Times New Roman" w:cs="Times New Roman"/>
          <w:sz w:val="24"/>
          <w:szCs w:val="24"/>
        </w:rPr>
        <w:t>If you have an</w:t>
      </w:r>
      <w:r w:rsidR="00847D3F">
        <w:rPr>
          <w:rFonts w:ascii="Times New Roman" w:hAnsi="Times New Roman" w:cs="Times New Roman"/>
          <w:sz w:val="24"/>
          <w:szCs w:val="24"/>
        </w:rPr>
        <w:t>y</w:t>
      </w:r>
      <w:r>
        <w:rPr>
          <w:rFonts w:ascii="Times New Roman" w:hAnsi="Times New Roman" w:cs="Times New Roman"/>
          <w:sz w:val="24"/>
          <w:szCs w:val="24"/>
        </w:rPr>
        <w:t xml:space="preserve"> questions about </w:t>
      </w:r>
      <w:r w:rsidR="00B85BAC">
        <w:rPr>
          <w:rFonts w:ascii="Times New Roman" w:hAnsi="Times New Roman" w:cs="Times New Roman"/>
          <w:sz w:val="24"/>
          <w:szCs w:val="24"/>
        </w:rPr>
        <w:t xml:space="preserve">the </w:t>
      </w:r>
      <w:r>
        <w:rPr>
          <w:rFonts w:ascii="Times New Roman" w:hAnsi="Times New Roman" w:cs="Times New Roman"/>
          <w:sz w:val="24"/>
          <w:szCs w:val="24"/>
        </w:rPr>
        <w:t>re-categorisation process</w:t>
      </w:r>
      <w:r w:rsidR="00B85BAC">
        <w:rPr>
          <w:rFonts w:ascii="Times New Roman" w:hAnsi="Times New Roman" w:cs="Times New Roman"/>
          <w:sz w:val="24"/>
          <w:szCs w:val="24"/>
        </w:rPr>
        <w:t>,</w:t>
      </w:r>
      <w:r>
        <w:rPr>
          <w:rFonts w:ascii="Times New Roman" w:hAnsi="Times New Roman" w:cs="Times New Roman"/>
          <w:sz w:val="24"/>
          <w:szCs w:val="24"/>
        </w:rPr>
        <w:t xml:space="preserve"> p</w:t>
      </w:r>
      <w:r w:rsidR="00571EDB">
        <w:rPr>
          <w:rFonts w:ascii="Times New Roman" w:hAnsi="Times New Roman" w:cs="Times New Roman"/>
          <w:sz w:val="24"/>
          <w:szCs w:val="24"/>
        </w:rPr>
        <w:t>lease contact the Commission at the following email address:</w:t>
      </w:r>
      <w:r>
        <w:rPr>
          <w:rFonts w:ascii="Times New Roman" w:hAnsi="Times New Roman" w:cs="Times New Roman"/>
          <w:sz w:val="24"/>
          <w:szCs w:val="24"/>
        </w:rPr>
        <w:t xml:space="preserve"> </w:t>
      </w:r>
      <w:hyperlink r:id="rId12" w:history="1">
        <w:r>
          <w:rPr>
            <w:rStyle w:val="Hyperlink"/>
            <w:rFonts w:ascii="Times New Roman" w:eastAsia="Times New Roman" w:hAnsi="Times New Roman" w:cs="Times New Roman"/>
            <w:lang w:val="en-US"/>
          </w:rPr>
          <w:t>ifpd@gfsc.gg</w:t>
        </w:r>
      </w:hyperlink>
      <w:r w:rsidRPr="00293CD0">
        <w:rPr>
          <w:rFonts w:ascii="Times New Roman" w:eastAsia="Times New Roman" w:hAnsi="Times New Roman" w:cs="Times New Roman"/>
          <w:lang w:val="en-US"/>
        </w:rPr>
        <w:t>.</w:t>
      </w:r>
    </w:p>
    <w:p w14:paraId="091BC982" w14:textId="77777777" w:rsidR="00571EDB" w:rsidRPr="00571EDB" w:rsidRDefault="00571EDB" w:rsidP="00393E1A">
      <w:pPr>
        <w:jc w:val="both"/>
        <w:rPr>
          <w:rFonts w:ascii="Times New Roman" w:hAnsi="Times New Roman" w:cs="Times New Roman"/>
          <w:sz w:val="24"/>
          <w:szCs w:val="24"/>
        </w:rPr>
      </w:pPr>
    </w:p>
    <w:sectPr w:rsidR="00571EDB" w:rsidRPr="00571ED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64F21" w14:textId="77777777" w:rsidR="007D1EC8" w:rsidRDefault="007D1EC8" w:rsidP="0058254B">
      <w:pPr>
        <w:spacing w:after="0" w:line="240" w:lineRule="auto"/>
      </w:pPr>
      <w:r>
        <w:separator/>
      </w:r>
    </w:p>
  </w:endnote>
  <w:endnote w:type="continuationSeparator" w:id="0">
    <w:p w14:paraId="0C857288" w14:textId="77777777" w:rsidR="007D1EC8" w:rsidRDefault="007D1EC8" w:rsidP="00582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51B297" w14:textId="77777777" w:rsidR="007D1EC8" w:rsidRDefault="007D1EC8" w:rsidP="0058254B">
      <w:pPr>
        <w:spacing w:after="0" w:line="240" w:lineRule="auto"/>
      </w:pPr>
      <w:r>
        <w:separator/>
      </w:r>
    </w:p>
  </w:footnote>
  <w:footnote w:type="continuationSeparator" w:id="0">
    <w:p w14:paraId="220F87E1" w14:textId="77777777" w:rsidR="007D1EC8" w:rsidRDefault="007D1EC8" w:rsidP="0058254B">
      <w:pPr>
        <w:spacing w:after="0" w:line="240" w:lineRule="auto"/>
      </w:pPr>
      <w:r>
        <w:continuationSeparator/>
      </w:r>
    </w:p>
  </w:footnote>
  <w:footnote w:id="1">
    <w:p w14:paraId="385CDFA8" w14:textId="6276B64B" w:rsidR="00847D3F" w:rsidRDefault="00847D3F">
      <w:pPr>
        <w:pStyle w:val="FootnoteText"/>
      </w:pPr>
      <w:r>
        <w:rPr>
          <w:rStyle w:val="FootnoteReference"/>
        </w:rPr>
        <w:footnoteRef/>
      </w:r>
      <w:r>
        <w:t xml:space="preserve"> </w:t>
      </w:r>
      <w:hyperlink r:id="rId1" w:history="1">
        <w:r>
          <w:rPr>
            <w:rStyle w:val="Hyperlink"/>
            <w:rFonts w:ascii="Times New Roman" w:eastAsia="Times New Roman" w:hAnsi="Times New Roman" w:cs="Times New Roman"/>
          </w:rPr>
          <w:t>https://www.guernseylegalresources.gg/laws/guernsey-bailiwick/f/financial-services/regulation-of-fiduciaries-administration-businesses-and-company-directors-etc-bailiwick-of-guernsey-law-2020/</w:t>
        </w:r>
      </w:hyperlink>
    </w:p>
  </w:footnote>
  <w:footnote w:id="2">
    <w:p w14:paraId="5653DCB9" w14:textId="1EA1BEEE" w:rsidR="00847D3F" w:rsidRDefault="00847D3F">
      <w:pPr>
        <w:pStyle w:val="FootnoteText"/>
      </w:pPr>
      <w:r>
        <w:rPr>
          <w:rStyle w:val="FootnoteReference"/>
        </w:rPr>
        <w:footnoteRef/>
      </w:r>
      <w:r>
        <w:t xml:space="preserve"> </w:t>
      </w:r>
      <w:hyperlink r:id="rId2" w:history="1">
        <w:r>
          <w:rPr>
            <w:rStyle w:val="Hyperlink"/>
          </w:rPr>
          <w:t>Guernsey Financial Services Commission - Citizen Space (gfsc.gg)</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6F8"/>
    <w:rsid w:val="000254FF"/>
    <w:rsid w:val="00033D67"/>
    <w:rsid w:val="000424E7"/>
    <w:rsid w:val="00063F04"/>
    <w:rsid w:val="000C3E77"/>
    <w:rsid w:val="000D1A95"/>
    <w:rsid w:val="000E149E"/>
    <w:rsid w:val="000F4D7F"/>
    <w:rsid w:val="00107D07"/>
    <w:rsid w:val="0012211A"/>
    <w:rsid w:val="0012313C"/>
    <w:rsid w:val="00146000"/>
    <w:rsid w:val="001818BA"/>
    <w:rsid w:val="001872F5"/>
    <w:rsid w:val="001C3749"/>
    <w:rsid w:val="001C3E22"/>
    <w:rsid w:val="001C6D8B"/>
    <w:rsid w:val="001D6C6E"/>
    <w:rsid w:val="0020364D"/>
    <w:rsid w:val="002100BA"/>
    <w:rsid w:val="0021580C"/>
    <w:rsid w:val="00234B59"/>
    <w:rsid w:val="00235F5D"/>
    <w:rsid w:val="00245901"/>
    <w:rsid w:val="002864D6"/>
    <w:rsid w:val="00293CD0"/>
    <w:rsid w:val="002C552B"/>
    <w:rsid w:val="002C628B"/>
    <w:rsid w:val="002D7AEA"/>
    <w:rsid w:val="002F15ED"/>
    <w:rsid w:val="002F6797"/>
    <w:rsid w:val="00301A88"/>
    <w:rsid w:val="003266BF"/>
    <w:rsid w:val="00341DBC"/>
    <w:rsid w:val="00360529"/>
    <w:rsid w:val="00375E09"/>
    <w:rsid w:val="003852FC"/>
    <w:rsid w:val="00393E1A"/>
    <w:rsid w:val="0039628E"/>
    <w:rsid w:val="003B0346"/>
    <w:rsid w:val="003B14A1"/>
    <w:rsid w:val="003B66AC"/>
    <w:rsid w:val="003B71DC"/>
    <w:rsid w:val="003E5943"/>
    <w:rsid w:val="003F52E7"/>
    <w:rsid w:val="0040723F"/>
    <w:rsid w:val="0041752B"/>
    <w:rsid w:val="00430C11"/>
    <w:rsid w:val="004379D6"/>
    <w:rsid w:val="004465C2"/>
    <w:rsid w:val="00457095"/>
    <w:rsid w:val="004815A4"/>
    <w:rsid w:val="00491E48"/>
    <w:rsid w:val="00492FA7"/>
    <w:rsid w:val="004D06CC"/>
    <w:rsid w:val="004D1CC6"/>
    <w:rsid w:val="004D25DE"/>
    <w:rsid w:val="004F7CEB"/>
    <w:rsid w:val="00526430"/>
    <w:rsid w:val="00546A90"/>
    <w:rsid w:val="00571EDB"/>
    <w:rsid w:val="0058254B"/>
    <w:rsid w:val="00584BF0"/>
    <w:rsid w:val="00585E88"/>
    <w:rsid w:val="005C3CE5"/>
    <w:rsid w:val="005C696C"/>
    <w:rsid w:val="005F54DB"/>
    <w:rsid w:val="006065D4"/>
    <w:rsid w:val="00610A13"/>
    <w:rsid w:val="0062689E"/>
    <w:rsid w:val="00652DD2"/>
    <w:rsid w:val="0067045D"/>
    <w:rsid w:val="00675C83"/>
    <w:rsid w:val="006F3205"/>
    <w:rsid w:val="00727E69"/>
    <w:rsid w:val="0073197A"/>
    <w:rsid w:val="007928FF"/>
    <w:rsid w:val="007A5695"/>
    <w:rsid w:val="007B377D"/>
    <w:rsid w:val="007D1EC8"/>
    <w:rsid w:val="007D7902"/>
    <w:rsid w:val="00804832"/>
    <w:rsid w:val="00821D36"/>
    <w:rsid w:val="008260C9"/>
    <w:rsid w:val="00827442"/>
    <w:rsid w:val="00830C47"/>
    <w:rsid w:val="00842CA9"/>
    <w:rsid w:val="00847D3F"/>
    <w:rsid w:val="00853784"/>
    <w:rsid w:val="008652F4"/>
    <w:rsid w:val="0086632F"/>
    <w:rsid w:val="00881C73"/>
    <w:rsid w:val="00886ED6"/>
    <w:rsid w:val="00892B13"/>
    <w:rsid w:val="00912216"/>
    <w:rsid w:val="0093656F"/>
    <w:rsid w:val="00936E0A"/>
    <w:rsid w:val="00967A00"/>
    <w:rsid w:val="0098479D"/>
    <w:rsid w:val="0098510F"/>
    <w:rsid w:val="009944C7"/>
    <w:rsid w:val="009A34A8"/>
    <w:rsid w:val="009A3B6D"/>
    <w:rsid w:val="009D0715"/>
    <w:rsid w:val="00A05EAF"/>
    <w:rsid w:val="00A42AF2"/>
    <w:rsid w:val="00A63955"/>
    <w:rsid w:val="00A6408E"/>
    <w:rsid w:val="00A74F19"/>
    <w:rsid w:val="00A90628"/>
    <w:rsid w:val="00A92955"/>
    <w:rsid w:val="00A93F4F"/>
    <w:rsid w:val="00B00326"/>
    <w:rsid w:val="00B203AD"/>
    <w:rsid w:val="00B204D3"/>
    <w:rsid w:val="00B4120A"/>
    <w:rsid w:val="00B418FF"/>
    <w:rsid w:val="00B4622A"/>
    <w:rsid w:val="00B62238"/>
    <w:rsid w:val="00B81113"/>
    <w:rsid w:val="00B85BAC"/>
    <w:rsid w:val="00BD24C6"/>
    <w:rsid w:val="00BD64CA"/>
    <w:rsid w:val="00BF36F8"/>
    <w:rsid w:val="00C36B2E"/>
    <w:rsid w:val="00C51337"/>
    <w:rsid w:val="00C778B5"/>
    <w:rsid w:val="00C84602"/>
    <w:rsid w:val="00C9391C"/>
    <w:rsid w:val="00CA1080"/>
    <w:rsid w:val="00CA4538"/>
    <w:rsid w:val="00CF2ADC"/>
    <w:rsid w:val="00D015EF"/>
    <w:rsid w:val="00D040F1"/>
    <w:rsid w:val="00D40C3F"/>
    <w:rsid w:val="00D776E7"/>
    <w:rsid w:val="00D921BC"/>
    <w:rsid w:val="00DA6A4D"/>
    <w:rsid w:val="00DD0AF4"/>
    <w:rsid w:val="00DD4DA9"/>
    <w:rsid w:val="00DD5762"/>
    <w:rsid w:val="00DE1133"/>
    <w:rsid w:val="00E21117"/>
    <w:rsid w:val="00E42F09"/>
    <w:rsid w:val="00E73E2D"/>
    <w:rsid w:val="00E74111"/>
    <w:rsid w:val="00E85A84"/>
    <w:rsid w:val="00EC23D4"/>
    <w:rsid w:val="00EC2DC7"/>
    <w:rsid w:val="00ED7409"/>
    <w:rsid w:val="00EE20CA"/>
    <w:rsid w:val="00EE244A"/>
    <w:rsid w:val="00F178C0"/>
    <w:rsid w:val="00F17E7C"/>
    <w:rsid w:val="00F3065C"/>
    <w:rsid w:val="00F426A2"/>
    <w:rsid w:val="00F515BE"/>
    <w:rsid w:val="00F80916"/>
    <w:rsid w:val="00FA4516"/>
    <w:rsid w:val="00FA5AA7"/>
    <w:rsid w:val="00FD4630"/>
    <w:rsid w:val="00FD70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60307"/>
  <w15:chartTrackingRefBased/>
  <w15:docId w15:val="{FB695EC8-8311-44F1-BA78-C6D57CEB9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825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8254B"/>
    <w:rPr>
      <w:sz w:val="20"/>
      <w:szCs w:val="20"/>
    </w:rPr>
  </w:style>
  <w:style w:type="character" w:styleId="FootnoteReference">
    <w:name w:val="footnote reference"/>
    <w:basedOn w:val="DefaultParagraphFont"/>
    <w:uiPriority w:val="99"/>
    <w:semiHidden/>
    <w:unhideWhenUsed/>
    <w:rsid w:val="0058254B"/>
    <w:rPr>
      <w:vertAlign w:val="superscript"/>
    </w:rPr>
  </w:style>
  <w:style w:type="character" w:styleId="Hyperlink">
    <w:name w:val="Hyperlink"/>
    <w:basedOn w:val="DefaultParagraphFont"/>
    <w:uiPriority w:val="99"/>
    <w:unhideWhenUsed/>
    <w:rsid w:val="00293CD0"/>
    <w:rPr>
      <w:color w:val="0563C1"/>
      <w:u w:val="single"/>
    </w:rPr>
  </w:style>
  <w:style w:type="character" w:styleId="UnresolvedMention">
    <w:name w:val="Unresolved Mention"/>
    <w:basedOn w:val="DefaultParagraphFont"/>
    <w:uiPriority w:val="99"/>
    <w:semiHidden/>
    <w:unhideWhenUsed/>
    <w:rsid w:val="00293CD0"/>
    <w:rPr>
      <w:color w:val="605E5C"/>
      <w:shd w:val="clear" w:color="auto" w:fill="E1DFDD"/>
    </w:rPr>
  </w:style>
  <w:style w:type="character" w:styleId="FollowedHyperlink">
    <w:name w:val="FollowedHyperlink"/>
    <w:basedOn w:val="DefaultParagraphFont"/>
    <w:uiPriority w:val="99"/>
    <w:semiHidden/>
    <w:unhideWhenUsed/>
    <w:rsid w:val="00847D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fpd@gfsc.g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fsc.gg/industry-sectors/fiduciary/regulated-entities" TargetMode="Externa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consultationhub.gfsc.gg/" TargetMode="External"/><Relationship Id="rId1" Type="http://schemas.openxmlformats.org/officeDocument/2006/relationships/hyperlink" Target="https://www.guernseylegalresources.gg/laws/guernsey-bailiwick/f/financial-services/regulation-of-fiduciaries-administration-businesses-and-company-directors-etc-bailiwick-of-guernsey-law-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93EEF321AD7C249BCAED98608C819CF" ma:contentTypeVersion="2" ma:contentTypeDescription="Create a new document." ma:contentTypeScope="" ma:versionID="0f511c0e4c8ff0dcc337b7e9ed45dd73">
  <xsd:schema xmlns:xsd="http://www.w3.org/2001/XMLSchema" xmlns:xs="http://www.w3.org/2001/XMLSchema" xmlns:p="http://schemas.microsoft.com/office/2006/metadata/properties" xmlns:ns2="fa6e2a44-9453-4c76-a25e-25bae84753e2" xmlns:ns3="6042bd60-7fd3-41f3-bb4c-d7405a3151de" targetNamespace="http://schemas.microsoft.com/office/2006/metadata/properties" ma:root="true" ma:fieldsID="c408e5c69b0e7a012d6485563f0e13b1" ns2:_="" ns3:_="">
    <xsd:import namespace="fa6e2a44-9453-4c76-a25e-25bae84753e2"/>
    <xsd:import namespace="6042bd60-7fd3-41f3-bb4c-d7405a3151de"/>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6e2a44-9453-4c76-a25e-25bae84753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042bd60-7fd3-41f3-bb4c-d7405a3151d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a6e2a44-9453-4c76-a25e-25bae84753e2">IDOC-314-3167</_dlc_DocId>
    <_dlc_DocIdUrl xmlns="fa6e2a44-9453-4c76-a25e-25bae84753e2">
      <Url>http://intranet/Fiduciary/_layouts/15/DocIdRedir.aspx?ID=IDOC-314-3167</Url>
      <Description>IDOC-314-3167</Description>
    </_dlc_DocIdUrl>
  </documentManagement>
</p:properties>
</file>

<file path=customXml/itemProps1.xml><?xml version="1.0" encoding="utf-8"?>
<ds:datastoreItem xmlns:ds="http://schemas.openxmlformats.org/officeDocument/2006/customXml" ds:itemID="{B54DD517-0DB0-45F0-B8F0-1FD0942780FB}">
  <ds:schemaRefs>
    <ds:schemaRef ds:uri="http://schemas.openxmlformats.org/officeDocument/2006/bibliography"/>
  </ds:schemaRefs>
</ds:datastoreItem>
</file>

<file path=customXml/itemProps2.xml><?xml version="1.0" encoding="utf-8"?>
<ds:datastoreItem xmlns:ds="http://schemas.openxmlformats.org/officeDocument/2006/customXml" ds:itemID="{4176B3C4-FC5F-4449-A28A-6AF4065F2B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6e2a44-9453-4c76-a25e-25bae84753e2"/>
    <ds:schemaRef ds:uri="6042bd60-7fd3-41f3-bb4c-d7405a3151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DBF1B8-8FD0-4A07-8BB3-88FCF1EC00C8}">
  <ds:schemaRefs>
    <ds:schemaRef ds:uri="http://schemas.microsoft.com/sharepoint/events"/>
  </ds:schemaRefs>
</ds:datastoreItem>
</file>

<file path=customXml/itemProps4.xml><?xml version="1.0" encoding="utf-8"?>
<ds:datastoreItem xmlns:ds="http://schemas.openxmlformats.org/officeDocument/2006/customXml" ds:itemID="{994EC14D-C4BB-4432-A025-2CB04AEC6CCE}">
  <ds:schemaRefs>
    <ds:schemaRef ds:uri="http://schemas.microsoft.com/sharepoint/v3/contenttype/forms"/>
  </ds:schemaRefs>
</ds:datastoreItem>
</file>

<file path=customXml/itemProps5.xml><?xml version="1.0" encoding="utf-8"?>
<ds:datastoreItem xmlns:ds="http://schemas.openxmlformats.org/officeDocument/2006/customXml" ds:itemID="{CAC9D153-F287-4E35-88CA-A41700D542F5}">
  <ds:schemaRefs>
    <ds:schemaRef ds:uri="http://purl.org/dc/elements/1.1/"/>
    <ds:schemaRef ds:uri="http://schemas.microsoft.com/office/2006/metadata/properties"/>
    <ds:schemaRef ds:uri="http://purl.org/dc/terms/"/>
    <ds:schemaRef ds:uri="http://purl.org/dc/dcmitype/"/>
    <ds:schemaRef ds:uri="fa6e2a44-9453-4c76-a25e-25bae84753e2"/>
    <ds:schemaRef ds:uri="http://schemas.microsoft.com/office/infopath/2007/PartnerControls"/>
    <ds:schemaRef ds:uri="http://schemas.microsoft.com/office/2006/documentManagement/types"/>
    <ds:schemaRef ds:uri="http://schemas.openxmlformats.org/package/2006/metadata/core-properties"/>
    <ds:schemaRef ds:uri="6042bd60-7fd3-41f3-bb4c-d7405a3151d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McHugh</dc:creator>
  <cp:keywords/>
  <dc:description/>
  <cp:lastModifiedBy>May Rondel</cp:lastModifiedBy>
  <cp:revision>2</cp:revision>
  <cp:lastPrinted>2021-07-16T09:38:00Z</cp:lastPrinted>
  <dcterms:created xsi:type="dcterms:W3CDTF">2021-09-15T06:52:00Z</dcterms:created>
  <dcterms:modified xsi:type="dcterms:W3CDTF">2021-09-15T06:52:00Z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0x010100793EEF321AD7C249BCAED98608C819CF</vt:lpwstr>
  </property>
  <property fmtid="{D5CDD505-2E9C-101B-9397-08002B2CF9AE}" pid="3" name="_dlc_DocIdItemGuid">
    <vt:lpwstr>532b597e-aef4-45f4-a51a-b4a2a97d44a2</vt:lpwstr>
  </property>
</Properties>
</file>