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C6CB" w14:textId="77777777" w:rsidR="00B1087D" w:rsidRDefault="00EC2852" w:rsidP="00B1087D">
      <w:pPr>
        <w:pStyle w:val="Heading2"/>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825C79A" wp14:editId="7825C79B">
                <wp:simplePos x="0" y="0"/>
                <wp:positionH relativeFrom="column">
                  <wp:posOffset>4341479</wp:posOffset>
                </wp:positionH>
                <wp:positionV relativeFrom="paragraph">
                  <wp:posOffset>-345782</wp:posOffset>
                </wp:positionV>
                <wp:extent cx="1690317" cy="238206"/>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1690317"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5C7A9" w14:textId="77777777"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9C10E9">
                              <w:rPr>
                                <w:rFonts w:ascii="Times New Roman" w:hAnsi="Times New Roman" w:cs="Times New Roman"/>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C79A" id="_x0000_t202" coordsize="21600,21600" o:spt="202" path="m,l,21600r21600,l21600,xe">
                <v:stroke joinstyle="miter"/>
                <v:path gradientshapeok="t" o:connecttype="rect"/>
              </v:shapetype>
              <v:shape id="Text Box 1" o:spid="_x0000_s1026" type="#_x0000_t202" style="position:absolute;margin-left:341.85pt;margin-top:-27.25pt;width:133.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" fillcolor="white [3201]" strokeweight=".5pt">
                <v:textbox>
                  <w:txbxContent>
                    <w:p w14:paraId="7825C7A9" w14:textId="77777777"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9C10E9">
                        <w:rPr>
                          <w:rFonts w:ascii="Times New Roman" w:hAnsi="Times New Roman" w:cs="Times New Roman"/>
                          <w:sz w:val="16"/>
                          <w:szCs w:val="16"/>
                        </w:rPr>
                        <w:t>6</w:t>
                      </w:r>
                    </w:p>
                  </w:txbxContent>
                </v:textbox>
              </v:shape>
            </w:pict>
          </mc:Fallback>
        </mc:AlternateContent>
      </w:r>
      <w:r w:rsidR="00B1087D">
        <w:rPr>
          <w:noProof/>
          <w:lang w:eastAsia="en-GB"/>
        </w:rPr>
        <w:drawing>
          <wp:anchor distT="0" distB="0" distL="114300" distR="114300" simplePos="0" relativeHeight="251608064" behindDoc="0" locked="0" layoutInCell="1" allowOverlap="1" wp14:anchorId="7825C79C" wp14:editId="7825C79D">
            <wp:simplePos x="0" y="0"/>
            <wp:positionH relativeFrom="column">
              <wp:posOffset>1760855</wp:posOffset>
            </wp:positionH>
            <wp:positionV relativeFrom="paragraph">
              <wp:posOffset>-429260</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7825C6CC" w14:textId="77777777" w:rsidR="00701C7D" w:rsidRPr="00701C7D" w:rsidRDefault="00701C7D" w:rsidP="00701C7D"/>
    <w:p w14:paraId="7825C6CD" w14:textId="77777777" w:rsidR="00701C7D" w:rsidRDefault="00701C7D" w:rsidP="00701C7D">
      <w:pPr>
        <w:rPr>
          <w:rFonts w:asciiTheme="majorHAnsi" w:eastAsiaTheme="majorEastAsia" w:hAnsiTheme="majorHAnsi" w:cstheme="majorBidi"/>
          <w:b/>
          <w:bCs/>
          <w:color w:val="98012E" w:themeColor="accent1"/>
          <w:sz w:val="26"/>
          <w:szCs w:val="26"/>
        </w:rPr>
      </w:pPr>
    </w:p>
    <w:p w14:paraId="7825C6CE"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7825C6D2" w14:textId="77777777" w:rsidTr="0053330D">
        <w:tc>
          <w:tcPr>
            <w:tcW w:w="9242" w:type="dxa"/>
            <w:tcBorders>
              <w:bottom w:val="single" w:sz="4" w:space="0" w:color="auto"/>
            </w:tcBorders>
          </w:tcPr>
          <w:p w14:paraId="7825C6CF" w14:textId="77777777" w:rsidR="0053330D" w:rsidRDefault="0053330D" w:rsidP="00701C7D">
            <w:pPr>
              <w:jc w:val="center"/>
              <w:rPr>
                <w:rFonts w:ascii="Times New Roman" w:hAnsi="Times New Roman" w:cs="Times New Roman"/>
                <w:color w:val="98012E" w:themeColor="accent1"/>
                <w:sz w:val="28"/>
                <w:szCs w:val="28"/>
              </w:rPr>
            </w:pPr>
          </w:p>
          <w:p w14:paraId="7825C6D0"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p>
          <w:p w14:paraId="7825C6D1" w14:textId="77777777" w:rsidR="0053330D" w:rsidRDefault="0053330D" w:rsidP="00701C7D">
            <w:pPr>
              <w:jc w:val="center"/>
              <w:rPr>
                <w:rFonts w:ascii="Times New Roman" w:hAnsi="Times New Roman" w:cs="Times New Roman"/>
                <w:color w:val="98012E" w:themeColor="accent1"/>
                <w:sz w:val="28"/>
                <w:szCs w:val="28"/>
              </w:rPr>
            </w:pPr>
          </w:p>
        </w:tc>
      </w:tr>
      <w:tr w:rsidR="0053330D" w14:paraId="7825C6F3"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7825C6D3" w14:textId="77777777" w:rsidR="0058228C" w:rsidRDefault="0058228C" w:rsidP="00DE3758">
            <w:pPr>
              <w:rPr>
                <w:rFonts w:ascii="Times New Roman" w:hAnsi="Times New Roman" w:cs="Times New Roman"/>
                <w:b/>
                <w:i/>
                <w:sz w:val="20"/>
                <w:szCs w:val="20"/>
              </w:rPr>
            </w:pPr>
          </w:p>
          <w:p w14:paraId="7825C6D4" w14:textId="77777777"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ORM DISCRETIONARY EXEMPTION 2016</w:t>
            </w:r>
          </w:p>
          <w:p w14:paraId="7825C6D5" w14:textId="77777777" w:rsidR="0053330D" w:rsidRDefault="0053330D" w:rsidP="00DE3758">
            <w:pPr>
              <w:rPr>
                <w:rFonts w:ascii="Times New Roman" w:hAnsi="Times New Roman" w:cs="Times New Roman"/>
                <w:sz w:val="20"/>
                <w:szCs w:val="20"/>
              </w:rPr>
            </w:pPr>
          </w:p>
          <w:p w14:paraId="7825C6D6" w14:textId="77777777" w:rsidR="00DC1B09"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 xml:space="preserve">Any person or entity wishing to carry out </w:t>
            </w:r>
            <w:r w:rsidR="00025576" w:rsidRPr="00147712">
              <w:rPr>
                <w:rFonts w:ascii="Times New Roman" w:hAnsi="Times New Roman" w:cs="Times New Roman"/>
                <w:sz w:val="20"/>
                <w:szCs w:val="20"/>
              </w:rPr>
              <w:t>r</w:t>
            </w:r>
            <w:r w:rsidRPr="00147712">
              <w:rPr>
                <w:rFonts w:ascii="Times New Roman" w:hAnsi="Times New Roman" w:cs="Times New Roman"/>
                <w:sz w:val="20"/>
                <w:szCs w:val="20"/>
              </w:rPr>
              <w:t>egulated activities as</w:t>
            </w:r>
            <w:r>
              <w:t xml:space="preserve"> </w:t>
            </w:r>
            <w:r w:rsidRPr="00147712">
              <w:rPr>
                <w:rFonts w:ascii="Times New Roman" w:hAnsi="Times New Roman" w:cs="Times New Roman"/>
                <w:sz w:val="20"/>
                <w:szCs w:val="20"/>
              </w:rPr>
              <w:t xml:space="preserve">defined under section 2 of the Law </w:t>
            </w:r>
            <w:r w:rsidR="00DC1B09" w:rsidRPr="00147712">
              <w:rPr>
                <w:rFonts w:ascii="Times New Roman" w:hAnsi="Times New Roman" w:cs="Times New Roman"/>
                <w:sz w:val="20"/>
                <w:szCs w:val="20"/>
              </w:rPr>
              <w:t xml:space="preserve">must be </w:t>
            </w:r>
            <w:r w:rsidRPr="00147712">
              <w:rPr>
                <w:rFonts w:ascii="Times New Roman" w:hAnsi="Times New Roman" w:cs="Times New Roman"/>
                <w:sz w:val="20"/>
                <w:szCs w:val="20"/>
              </w:rPr>
              <w:t>licence</w:t>
            </w:r>
            <w:r w:rsidR="00DC1B09" w:rsidRPr="00147712">
              <w:rPr>
                <w:rFonts w:ascii="Times New Roman" w:hAnsi="Times New Roman" w:cs="Times New Roman"/>
                <w:sz w:val="20"/>
                <w:szCs w:val="20"/>
              </w:rPr>
              <w:t xml:space="preserve">d under the Law.  </w:t>
            </w:r>
            <w:r w:rsidR="00A51C12" w:rsidRPr="00147712">
              <w:rPr>
                <w:rFonts w:ascii="Times New Roman" w:hAnsi="Times New Roman" w:cs="Times New Roman"/>
                <w:sz w:val="20"/>
                <w:szCs w:val="20"/>
              </w:rPr>
              <w:t>R</w:t>
            </w:r>
            <w:r w:rsidR="00DC1B09" w:rsidRPr="00147712">
              <w:rPr>
                <w:rFonts w:ascii="Times New Roman" w:hAnsi="Times New Roman" w:cs="Times New Roman"/>
                <w:sz w:val="20"/>
                <w:szCs w:val="20"/>
              </w:rPr>
              <w:t>egulated activities include:</w:t>
            </w:r>
          </w:p>
          <w:p w14:paraId="7825C6D7" w14:textId="77777777" w:rsidR="00706B3C" w:rsidRDefault="00DC1B09" w:rsidP="00706B3C">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trusts</w:t>
            </w:r>
            <w:r w:rsidR="008B274A">
              <w:rPr>
                <w:rFonts w:ascii="Times New Roman" w:hAnsi="Times New Roman" w:cs="Times New Roman"/>
                <w:sz w:val="20"/>
                <w:szCs w:val="20"/>
              </w:rPr>
              <w:t xml:space="preserve"> </w:t>
            </w:r>
            <w:r w:rsidRPr="00147712">
              <w:rPr>
                <w:rFonts w:ascii="Times New Roman" w:hAnsi="Times New Roman" w:cs="Times New Roman"/>
                <w:sz w:val="20"/>
                <w:szCs w:val="20"/>
              </w:rPr>
              <w:t xml:space="preserve">and the provision of advice in relation to </w:t>
            </w:r>
            <w:r w:rsidR="00A51C12" w:rsidRPr="00147712">
              <w:rPr>
                <w:rFonts w:ascii="Times New Roman" w:hAnsi="Times New Roman" w:cs="Times New Roman"/>
                <w:sz w:val="20"/>
                <w:szCs w:val="20"/>
              </w:rPr>
              <w:t>the same:</w:t>
            </w:r>
          </w:p>
          <w:p w14:paraId="7825C6D8" w14:textId="77777777" w:rsidR="00706B3C" w:rsidRDefault="00706B3C"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company or corporate administration including, without limitation, the formation, management or administration of companies, partnerships or other unincorporated bodies and the provision of advice in relation to the formation, management or administration of companies, partnerships or other unincorporated bodies, whether incorporated or established in or under the laws</w:t>
            </w:r>
            <w:r w:rsidR="0020421F">
              <w:rPr>
                <w:rFonts w:ascii="Times New Roman" w:hAnsi="Times New Roman" w:cs="Times New Roman"/>
                <w:sz w:val="20"/>
                <w:szCs w:val="20"/>
              </w:rPr>
              <w:t xml:space="preserve"> of the Bailiwick or</w:t>
            </w:r>
            <w:r>
              <w:rPr>
                <w:rFonts w:ascii="Times New Roman" w:hAnsi="Times New Roman" w:cs="Times New Roman"/>
                <w:sz w:val="20"/>
                <w:szCs w:val="20"/>
              </w:rPr>
              <w:t xml:space="preserve"> elsewhere;</w:t>
            </w:r>
          </w:p>
          <w:p w14:paraId="7825C6D9" w14:textId="77777777" w:rsidR="00A51C12" w:rsidRPr="00706B3C" w:rsidRDefault="00A51C12"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the provision of executorship services including (without limitation) acting as, or accepting an appointment made by will as, an executor of a will or administrator of an estate; and</w:t>
            </w:r>
          </w:p>
          <w:p w14:paraId="7825C6DA" w14:textId="77777777" w:rsidR="00A51C12" w:rsidRPr="00147712" w:rsidRDefault="00A51C12" w:rsidP="00AA70BF">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foundations, and the provision of advice in relation to the formation, management or administration of foundations.</w:t>
            </w:r>
          </w:p>
          <w:p w14:paraId="7825C6DB" w14:textId="77777777" w:rsidR="00A51C12" w:rsidRPr="00147712" w:rsidRDefault="00A51C12" w:rsidP="00147712">
            <w:pPr>
              <w:tabs>
                <w:tab w:val="left" w:pos="709"/>
              </w:tabs>
              <w:ind w:left="709"/>
              <w:jc w:val="both"/>
              <w:rPr>
                <w:rFonts w:ascii="Times New Roman" w:hAnsi="Times New Roman" w:cs="Times New Roman"/>
                <w:sz w:val="20"/>
                <w:szCs w:val="20"/>
              </w:rPr>
            </w:pPr>
            <w:r w:rsidRPr="00147712">
              <w:rPr>
                <w:rFonts w:ascii="Times New Roman" w:hAnsi="Times New Roman" w:cs="Times New Roman"/>
                <w:sz w:val="20"/>
                <w:szCs w:val="20"/>
              </w:rPr>
              <w:t xml:space="preserve">However where an </w:t>
            </w:r>
            <w:r w:rsidR="008A14B5" w:rsidRPr="00147712">
              <w:rPr>
                <w:rFonts w:ascii="Times New Roman" w:hAnsi="Times New Roman" w:cs="Times New Roman"/>
                <w:sz w:val="20"/>
                <w:szCs w:val="20"/>
              </w:rPr>
              <w:t>activity</w:t>
            </w:r>
            <w:r w:rsidRPr="00147712">
              <w:rPr>
                <w:rFonts w:ascii="Times New Roman" w:hAnsi="Times New Roman" w:cs="Times New Roman"/>
                <w:sz w:val="20"/>
                <w:szCs w:val="20"/>
              </w:rPr>
              <w:t xml:space="preserve"> is exempted under section 3 of the Law it is not a regulated activity.</w:t>
            </w:r>
            <w:r w:rsidR="00147712" w:rsidRPr="00147712">
              <w:rPr>
                <w:rFonts w:ascii="Times New Roman" w:hAnsi="Times New Roman" w:cs="Times New Roman"/>
                <w:sz w:val="20"/>
                <w:szCs w:val="20"/>
              </w:rPr>
              <w:t xml:space="preserve"> </w:t>
            </w:r>
          </w:p>
          <w:p w14:paraId="7825C6DC" w14:textId="77777777" w:rsidR="002C0232"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Section 3(1)(y) allows the Commission</w:t>
            </w:r>
            <w:r w:rsidR="003F39E4" w:rsidRPr="00147712">
              <w:rPr>
                <w:rFonts w:ascii="Times New Roman" w:hAnsi="Times New Roman" w:cs="Times New Roman"/>
                <w:sz w:val="20"/>
                <w:szCs w:val="20"/>
              </w:rPr>
              <w:t xml:space="preserve">, on application by </w:t>
            </w:r>
            <w:r w:rsidR="0020421F">
              <w:rPr>
                <w:rFonts w:ascii="Times New Roman" w:hAnsi="Times New Roman" w:cs="Times New Roman"/>
                <w:sz w:val="20"/>
                <w:szCs w:val="20"/>
              </w:rPr>
              <w:t xml:space="preserve">a </w:t>
            </w:r>
            <w:r w:rsidR="003F39E4" w:rsidRPr="00147712">
              <w:rPr>
                <w:rFonts w:ascii="Times New Roman" w:hAnsi="Times New Roman" w:cs="Times New Roman"/>
                <w:sz w:val="20"/>
                <w:szCs w:val="20"/>
              </w:rPr>
              <w:t>person,</w:t>
            </w:r>
            <w:r w:rsidRPr="00147712">
              <w:rPr>
                <w:rFonts w:ascii="Times New Roman" w:hAnsi="Times New Roman" w:cs="Times New Roman"/>
                <w:sz w:val="20"/>
                <w:szCs w:val="20"/>
              </w:rPr>
              <w:t xml:space="preserve"> </w:t>
            </w:r>
            <w:r w:rsidR="003F39E4" w:rsidRPr="00147712">
              <w:rPr>
                <w:rFonts w:ascii="Times New Roman" w:hAnsi="Times New Roman" w:cs="Times New Roman"/>
                <w:sz w:val="20"/>
                <w:szCs w:val="20"/>
              </w:rPr>
              <w:t xml:space="preserve">to </w:t>
            </w:r>
            <w:r w:rsidRPr="00147712">
              <w:rPr>
                <w:rFonts w:ascii="Times New Roman" w:hAnsi="Times New Roman" w:cs="Times New Roman"/>
                <w:sz w:val="20"/>
                <w:szCs w:val="20"/>
              </w:rPr>
              <w:t xml:space="preserve">specifically exempt an </w:t>
            </w:r>
            <w:r w:rsidR="00A51C12" w:rsidRPr="00147712">
              <w:rPr>
                <w:rFonts w:ascii="Times New Roman" w:hAnsi="Times New Roman" w:cs="Times New Roman"/>
                <w:sz w:val="20"/>
                <w:szCs w:val="20"/>
              </w:rPr>
              <w:t xml:space="preserve">activity, transaction or appointment </w:t>
            </w:r>
            <w:r w:rsidRPr="00147712">
              <w:rPr>
                <w:rFonts w:ascii="Times New Roman" w:hAnsi="Times New Roman" w:cs="Times New Roman"/>
                <w:sz w:val="20"/>
                <w:szCs w:val="20"/>
              </w:rPr>
              <w:t>from the operation of section 2 by written instrument.</w:t>
            </w:r>
          </w:p>
          <w:p w14:paraId="7825C6DD" w14:textId="77777777"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orm Discretionary Exe</w:t>
            </w:r>
            <w:r w:rsidR="0020421F">
              <w:rPr>
                <w:rFonts w:ascii="Times New Roman" w:hAnsi="Times New Roman" w:cs="Times New Roman"/>
                <w:sz w:val="20"/>
                <w:szCs w:val="20"/>
              </w:rPr>
              <w:t>mption 2016</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53330D" w:rsidRPr="002C0232">
              <w:rPr>
                <w:rFonts w:ascii="Times New Roman" w:hAnsi="Times New Roman" w:cs="Times New Roman"/>
                <w:sz w:val="20"/>
                <w:szCs w:val="20"/>
              </w:rPr>
              <w:t xml:space="preserve">State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7825C6DE"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7825C6DF"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7825C6E0" w14:textId="77777777"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type the information in each box</w:t>
            </w:r>
            <w:r w:rsidR="003F39E4">
              <w:rPr>
                <w:rFonts w:ascii="Times New Roman" w:hAnsi="Times New Roman" w:cs="Times New Roman"/>
                <w:sz w:val="20"/>
                <w:szCs w:val="20"/>
              </w:rPr>
              <w:t>,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7825C6E1" w14:textId="77777777" w:rsidR="0053330D" w:rsidRPr="002C0232" w:rsidRDefault="000C782D"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send the completed form and prescribed fee (see the Financial Services Commission (Fees) Regulations, available on the Commission’s website) to:</w:t>
            </w:r>
          </w:p>
          <w:p w14:paraId="7825C6E2" w14:textId="77777777" w:rsidR="0053330D" w:rsidRPr="0053330D" w:rsidRDefault="0053330D"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430"/>
            </w:tblGrid>
            <w:tr w:rsidR="0053330D" w:rsidRPr="00701C7D" w14:paraId="7825C6F1" w14:textId="77777777" w:rsidTr="000C782D">
              <w:tc>
                <w:tcPr>
                  <w:tcW w:w="11608" w:type="dxa"/>
                </w:tcPr>
                <w:p w14:paraId="7825C6E3"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Authorisations                                                        </w:t>
                  </w:r>
                  <w:r w:rsidR="00215077">
                    <w:rPr>
                      <w:rFonts w:ascii="Times New Roman" w:hAnsi="Times New Roman" w:cs="Times New Roman"/>
                      <w:sz w:val="20"/>
                      <w:szCs w:val="20"/>
                    </w:rPr>
                    <w:t xml:space="preserve">Telephone: (01481) </w:t>
                  </w:r>
                  <w:r w:rsidRPr="00701C7D">
                    <w:rPr>
                      <w:rFonts w:ascii="Times New Roman" w:hAnsi="Times New Roman" w:cs="Times New Roman"/>
                      <w:sz w:val="20"/>
                      <w:szCs w:val="20"/>
                    </w:rPr>
                    <w:t>712706</w:t>
                  </w:r>
                </w:p>
                <w:p w14:paraId="7825C6E4" w14:textId="77777777"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Financial Services Commission</w:t>
                  </w:r>
                  <w:r>
                    <w:rPr>
                      <w:rFonts w:ascii="Times New Roman" w:hAnsi="Times New Roman" w:cs="Times New Roman"/>
                      <w:sz w:val="20"/>
                      <w:szCs w:val="20"/>
                    </w:rPr>
                    <w:t xml:space="preserve">               </w:t>
                  </w: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7825C6E5" w14:textId="77777777"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PO Box 128</w:t>
                  </w:r>
                  <w:r>
                    <w:rPr>
                      <w:rFonts w:ascii="Times New Roman" w:hAnsi="Times New Roman" w:cs="Times New Roman"/>
                      <w:sz w:val="20"/>
                      <w:szCs w:val="20"/>
                    </w:rPr>
                    <w:t xml:space="preserve">                                                            </w:t>
                  </w:r>
                  <w:r w:rsidRPr="00DE3758">
                    <w:rPr>
                      <w:rFonts w:ascii="Times New Roman" w:hAnsi="Times New Roman" w:cs="Times New Roman"/>
                      <w:sz w:val="20"/>
                      <w:szCs w:val="20"/>
                    </w:rPr>
                    <w:t xml:space="preserve"> Internet: </w:t>
                  </w:r>
                  <w:r w:rsidR="00215077">
                    <w:rPr>
                      <w:rFonts w:ascii="Times New Roman" w:hAnsi="Times New Roman" w:cs="Times New Roman"/>
                      <w:sz w:val="20"/>
                      <w:szCs w:val="20"/>
                    </w:rPr>
                    <w:t>http://www.gfsc.gg</w:t>
                  </w:r>
                  <w:r w:rsidR="00215077" w:rsidRPr="00701C7D">
                    <w:rPr>
                      <w:rFonts w:ascii="Times New Roman" w:hAnsi="Times New Roman" w:cs="Times New Roman"/>
                      <w:sz w:val="20"/>
                      <w:szCs w:val="20"/>
                    </w:rPr>
                    <w:t xml:space="preserve"> </w:t>
                  </w:r>
                </w:p>
                <w:p w14:paraId="7825C6E6"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Court</w:t>
                  </w:r>
                </w:p>
                <w:p w14:paraId="7825C6E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Esplanade</w:t>
                  </w:r>
                </w:p>
                <w:p w14:paraId="7825C6E8"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St Peter Port</w:t>
                  </w:r>
                </w:p>
                <w:p w14:paraId="7825C6E9" w14:textId="77777777" w:rsidR="0053330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GY1 3HQ</w:t>
                  </w:r>
                </w:p>
                <w:p w14:paraId="7825C6EA"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Channel Islands</w:t>
                  </w:r>
                </w:p>
                <w:p w14:paraId="7825C6EB" w14:textId="77777777" w:rsidR="000C782D" w:rsidRDefault="000C782D" w:rsidP="00263A9B">
                  <w:pPr>
                    <w:ind w:left="34"/>
                    <w:jc w:val="both"/>
                    <w:rPr>
                      <w:rFonts w:ascii="Times New Roman" w:hAnsi="Times New Roman" w:cs="Times New Roman"/>
                      <w:sz w:val="20"/>
                      <w:szCs w:val="20"/>
                    </w:rPr>
                  </w:pPr>
                </w:p>
                <w:p w14:paraId="7825C6EC"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Supporting documents may either be submitted in electronic format to </w:t>
                  </w:r>
                  <w:hyperlink r:id="rId13" w:history="1">
                    <w:r w:rsidR="00215077" w:rsidRPr="00751375">
                      <w:rPr>
                        <w:rStyle w:val="Hyperlink"/>
                        <w:rFonts w:ascii="Times New Roman" w:hAnsi="Times New Roman" w:cs="Times New Roman"/>
                        <w:sz w:val="20"/>
                        <w:szCs w:val="20"/>
                      </w:rPr>
                      <w:t>authorisations@gfsc.gg</w:t>
                    </w:r>
                  </w:hyperlink>
                  <w:r>
                    <w:rPr>
                      <w:rFonts w:ascii="Times New Roman" w:hAnsi="Times New Roman" w:cs="Times New Roman"/>
                      <w:sz w:val="20"/>
                      <w:szCs w:val="20"/>
                    </w:rPr>
                    <w:t xml:space="preserve"> or, alternatively, by USB/disk.</w:t>
                  </w:r>
                </w:p>
                <w:p w14:paraId="7825C6ED" w14:textId="77777777" w:rsidR="0058228C" w:rsidRDefault="0058228C" w:rsidP="00263A9B">
                  <w:pPr>
                    <w:ind w:left="34"/>
                    <w:jc w:val="both"/>
                    <w:rPr>
                      <w:rFonts w:ascii="Times New Roman" w:hAnsi="Times New Roman" w:cs="Times New Roman"/>
                      <w:sz w:val="20"/>
                      <w:szCs w:val="20"/>
                    </w:rPr>
                  </w:pPr>
                </w:p>
                <w:p w14:paraId="7825C6EE" w14:textId="77777777" w:rsidR="00F04E73" w:rsidRDefault="00F04E73" w:rsidP="00263A9B">
                  <w:pPr>
                    <w:ind w:left="34"/>
                    <w:jc w:val="both"/>
                    <w:rPr>
                      <w:rFonts w:ascii="Times New Roman" w:hAnsi="Times New Roman" w:cs="Times New Roman"/>
                      <w:b/>
                      <w:sz w:val="20"/>
                      <w:szCs w:val="20"/>
                    </w:rPr>
                  </w:pPr>
                  <w:r w:rsidRPr="00F04E73">
                    <w:rPr>
                      <w:rFonts w:ascii="Times New Roman" w:hAnsi="Times New Roman" w:cs="Times New Roman"/>
                      <w:b/>
                      <w:sz w:val="20"/>
                      <w:szCs w:val="20"/>
                    </w:rPr>
                    <w:t>Please see guidance notes at the back of the form.</w:t>
                  </w:r>
                </w:p>
                <w:p w14:paraId="7825C6EF" w14:textId="77777777" w:rsidR="00F04E73" w:rsidRPr="00F04E73" w:rsidRDefault="00F04E73" w:rsidP="00263A9B">
                  <w:pPr>
                    <w:ind w:left="34"/>
                    <w:jc w:val="both"/>
                    <w:rPr>
                      <w:rFonts w:ascii="Times New Roman" w:hAnsi="Times New Roman" w:cs="Times New Roman"/>
                      <w:b/>
                      <w:sz w:val="20"/>
                      <w:szCs w:val="20"/>
                    </w:rPr>
                  </w:pPr>
                </w:p>
              </w:tc>
              <w:tc>
                <w:tcPr>
                  <w:tcW w:w="537" w:type="dxa"/>
                </w:tcPr>
                <w:p w14:paraId="7825C6F0" w14:textId="77777777" w:rsidR="0053330D" w:rsidRPr="00701C7D" w:rsidRDefault="0053330D" w:rsidP="00263A9B">
                  <w:pPr>
                    <w:ind w:left="34"/>
                    <w:jc w:val="both"/>
                    <w:rPr>
                      <w:rFonts w:ascii="Times New Roman" w:hAnsi="Times New Roman" w:cs="Times New Roman"/>
                      <w:sz w:val="20"/>
                      <w:szCs w:val="20"/>
                    </w:rPr>
                  </w:pPr>
                </w:p>
              </w:tc>
            </w:tr>
          </w:tbl>
          <w:p w14:paraId="7825C6F2" w14:textId="77777777" w:rsidR="0053330D" w:rsidRDefault="0053330D" w:rsidP="00DE3758">
            <w:pPr>
              <w:jc w:val="center"/>
              <w:rPr>
                <w:rFonts w:ascii="Times New Roman" w:hAnsi="Times New Roman" w:cs="Times New Roman"/>
                <w:color w:val="98012E" w:themeColor="accent1"/>
                <w:sz w:val="28"/>
                <w:szCs w:val="28"/>
              </w:rPr>
            </w:pPr>
          </w:p>
        </w:tc>
      </w:tr>
    </w:tbl>
    <w:p w14:paraId="7825C6F4" w14:textId="77777777"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lastRenderedPageBreak/>
        <w:br w:type="page"/>
      </w:r>
    </w:p>
    <w:p w14:paraId="7825C6F5" w14:textId="77777777"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7825C6F6"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263A9B" w:rsidRPr="00C13582" w14:paraId="7825C6F9" w14:textId="77777777" w:rsidTr="00147712">
        <w:trPr>
          <w:trHeight w:val="567"/>
        </w:trPr>
        <w:tc>
          <w:tcPr>
            <w:tcW w:w="9134" w:type="dxa"/>
          </w:tcPr>
          <w:p w14:paraId="7825C6F7" w14:textId="77777777" w:rsidR="00263A9B"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825C6F8" w14:textId="77777777" w:rsidR="00147712" w:rsidRPr="00C13582" w:rsidRDefault="00147712" w:rsidP="00E033B1">
            <w:pPr>
              <w:pStyle w:val="ListParagraph"/>
              <w:ind w:left="0"/>
              <w:jc w:val="both"/>
              <w:rPr>
                <w:rFonts w:ascii="Times New Roman" w:hAnsi="Times New Roman" w:cs="Times New Roman"/>
                <w:sz w:val="24"/>
                <w:szCs w:val="24"/>
              </w:rPr>
            </w:pPr>
          </w:p>
        </w:tc>
      </w:tr>
      <w:tr w:rsidR="00DE3758" w:rsidRPr="00C13582" w14:paraId="7825C6FC" w14:textId="77777777" w:rsidTr="00FC150B">
        <w:trPr>
          <w:trHeight w:val="1701"/>
        </w:trPr>
        <w:tc>
          <w:tcPr>
            <w:tcW w:w="9134" w:type="dxa"/>
          </w:tcPr>
          <w:p w14:paraId="7825C6FA"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825C6FB" w14:textId="77777777" w:rsidR="00147712" w:rsidRPr="00C13582" w:rsidRDefault="00147712" w:rsidP="00147712">
            <w:pPr>
              <w:pStyle w:val="ListParagraph"/>
              <w:ind w:left="0"/>
              <w:jc w:val="both"/>
              <w:rPr>
                <w:rFonts w:ascii="Times New Roman" w:hAnsi="Times New Roman" w:cs="Times New Roman"/>
                <w:sz w:val="24"/>
                <w:szCs w:val="24"/>
              </w:rPr>
            </w:pPr>
          </w:p>
        </w:tc>
      </w:tr>
      <w:tr w:rsidR="00C3614D" w:rsidRPr="00C13582" w14:paraId="7825C6FF" w14:textId="77777777" w:rsidTr="009E5D1C">
        <w:trPr>
          <w:trHeight w:val="2835"/>
        </w:trPr>
        <w:tc>
          <w:tcPr>
            <w:tcW w:w="9134" w:type="dxa"/>
          </w:tcPr>
          <w:p w14:paraId="7825C6FD" w14:textId="77777777" w:rsidR="00450643" w:rsidRPr="006D12EF" w:rsidRDefault="00C3614D" w:rsidP="006D12EF">
            <w:pPr>
              <w:jc w:val="both"/>
              <w:rPr>
                <w:rFonts w:ascii="Times New Roman" w:hAnsi="Times New Roman" w:cs="Times New Roman"/>
                <w:sz w:val="24"/>
                <w:szCs w:val="24"/>
              </w:rPr>
            </w:pPr>
            <w:r w:rsidRPr="006D12EF">
              <w:rPr>
                <w:rFonts w:ascii="Times New Roman" w:hAnsi="Times New Roman" w:cs="Times New Roman"/>
                <w:sz w:val="24"/>
                <w:szCs w:val="24"/>
              </w:rPr>
              <w:t>Directors</w:t>
            </w:r>
            <w:r w:rsidR="00D36B2B" w:rsidRPr="006D12EF">
              <w:rPr>
                <w:rFonts w:ascii="Times New Roman" w:hAnsi="Times New Roman" w:cs="Times New Roman"/>
                <w:sz w:val="24"/>
                <w:szCs w:val="24"/>
              </w:rPr>
              <w:t>/</w:t>
            </w:r>
            <w:r w:rsidRPr="006D12EF">
              <w:rPr>
                <w:rFonts w:ascii="Times New Roman" w:hAnsi="Times New Roman" w:cs="Times New Roman"/>
                <w:sz w:val="24"/>
                <w:szCs w:val="24"/>
              </w:rPr>
              <w:t>controllers:</w:t>
            </w:r>
            <w:r w:rsidR="00450643" w:rsidRPr="006D12EF">
              <w:rPr>
                <w:rFonts w:ascii="Times New Roman" w:hAnsi="Times New Roman" w:cs="Times New Roman"/>
                <w:sz w:val="24"/>
                <w:szCs w:val="24"/>
              </w:rPr>
              <w:t xml:space="preserve"> </w:t>
            </w:r>
            <w:r w:rsidR="00450643"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14:paraId="7825C6FE" w14:textId="77777777" w:rsidR="00D36B2B" w:rsidRDefault="00D36B2B" w:rsidP="00E033B1">
            <w:pPr>
              <w:pStyle w:val="ListParagraph"/>
              <w:ind w:left="0"/>
              <w:jc w:val="both"/>
              <w:rPr>
                <w:rFonts w:ascii="Times New Roman" w:hAnsi="Times New Roman" w:cs="Times New Roman"/>
                <w:sz w:val="24"/>
                <w:szCs w:val="24"/>
              </w:rPr>
            </w:pPr>
          </w:p>
        </w:tc>
      </w:tr>
    </w:tbl>
    <w:p w14:paraId="7825C700" w14:textId="77777777" w:rsidR="00F04E73" w:rsidRPr="00C13582" w:rsidRDefault="00F04E73" w:rsidP="00E033B1">
      <w:pPr>
        <w:spacing w:after="0" w:line="240" w:lineRule="auto"/>
        <w:jc w:val="both"/>
        <w:rPr>
          <w:rFonts w:ascii="Times New Roman" w:hAnsi="Times New Roman" w:cs="Times New Roman"/>
          <w:sz w:val="24"/>
          <w:szCs w:val="24"/>
        </w:rPr>
      </w:pPr>
    </w:p>
    <w:p w14:paraId="7825C701" w14:textId="77777777" w:rsidR="00DE3758" w:rsidRDefault="009E5D1C"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Explain</w:t>
      </w:r>
      <w:r w:rsidRPr="00785A2D">
        <w:rPr>
          <w:rFonts w:ascii="Times New Roman" w:hAnsi="Times New Roman" w:cs="Times New Roman"/>
          <w:sz w:val="24"/>
          <w:szCs w:val="24"/>
        </w:rPr>
        <w:t xml:space="preserve"> the rationale </w:t>
      </w:r>
      <w:r w:rsidR="00B003F4">
        <w:rPr>
          <w:rFonts w:ascii="Times New Roman" w:hAnsi="Times New Roman" w:cs="Times New Roman"/>
          <w:sz w:val="24"/>
          <w:szCs w:val="24"/>
        </w:rPr>
        <w:t>behind the request for an</w:t>
      </w:r>
      <w:r w:rsidRPr="00785A2D">
        <w:rPr>
          <w:rFonts w:ascii="Times New Roman" w:hAnsi="Times New Roman" w:cs="Times New Roman"/>
          <w:sz w:val="24"/>
          <w:szCs w:val="24"/>
        </w:rPr>
        <w:t xml:space="preserve"> exemption</w:t>
      </w:r>
      <w:r w:rsidR="008B274A">
        <w:rPr>
          <w:rFonts w:ascii="Times New Roman" w:hAnsi="Times New Roman" w:cs="Times New Roman"/>
          <w:sz w:val="24"/>
          <w:szCs w:val="24"/>
        </w:rPr>
        <w:t>, which should include</w:t>
      </w:r>
      <w:r w:rsidR="00DE3758" w:rsidRPr="00C13582">
        <w:rPr>
          <w:rFonts w:ascii="Times New Roman" w:hAnsi="Times New Roman" w:cs="Times New Roman"/>
          <w:sz w:val="24"/>
          <w:szCs w:val="24"/>
        </w:rPr>
        <w:t xml:space="preserve"> </w:t>
      </w:r>
      <w:r w:rsidR="00B003F4">
        <w:rPr>
          <w:rFonts w:ascii="Times New Roman" w:hAnsi="Times New Roman" w:cs="Times New Roman"/>
          <w:sz w:val="24"/>
          <w:szCs w:val="24"/>
        </w:rPr>
        <w:t xml:space="preserve">a summary of </w:t>
      </w:r>
      <w:r w:rsidR="00DE3758" w:rsidRPr="00C13582">
        <w:rPr>
          <w:rFonts w:ascii="Times New Roman" w:hAnsi="Times New Roman" w:cs="Times New Roman"/>
          <w:sz w:val="24"/>
          <w:szCs w:val="24"/>
        </w:rPr>
        <w:t xml:space="preserve">the </w:t>
      </w:r>
      <w:r w:rsidR="00B003F4">
        <w:rPr>
          <w:rFonts w:ascii="Times New Roman" w:hAnsi="Times New Roman" w:cs="Times New Roman"/>
          <w:sz w:val="24"/>
          <w:szCs w:val="24"/>
        </w:rPr>
        <w:t xml:space="preserve">business plan, </w:t>
      </w:r>
      <w:r w:rsidR="008A14B5">
        <w:rPr>
          <w:rFonts w:ascii="Times New Roman" w:hAnsi="Times New Roman" w:cs="Times New Roman"/>
          <w:sz w:val="24"/>
          <w:szCs w:val="24"/>
        </w:rPr>
        <w:t>particular</w:t>
      </w:r>
      <w:r w:rsidR="008A14B5" w:rsidRPr="00C13582">
        <w:rPr>
          <w:rFonts w:ascii="Times New Roman" w:hAnsi="Times New Roman" w:cs="Times New Roman"/>
          <w:sz w:val="24"/>
          <w:szCs w:val="24"/>
        </w:rPr>
        <w:t xml:space="preserve"> </w:t>
      </w:r>
      <w:r w:rsidR="00DE3758" w:rsidRPr="00C13582">
        <w:rPr>
          <w:rFonts w:ascii="Times New Roman" w:hAnsi="Times New Roman" w:cs="Times New Roman"/>
          <w:sz w:val="24"/>
          <w:szCs w:val="24"/>
        </w:rPr>
        <w:t xml:space="preserve">activity, transaction or appointment </w:t>
      </w:r>
      <w:r w:rsidR="008A14B5">
        <w:rPr>
          <w:rFonts w:ascii="Times New Roman" w:hAnsi="Times New Roman" w:cs="Times New Roman"/>
          <w:sz w:val="24"/>
          <w:szCs w:val="24"/>
        </w:rPr>
        <w:t>for which the exemption is sought</w:t>
      </w:r>
      <w:r w:rsidR="00E033B1">
        <w:rPr>
          <w:rFonts w:ascii="Times New Roman" w:hAnsi="Times New Roman" w:cs="Times New Roman"/>
          <w:sz w:val="24"/>
          <w:szCs w:val="24"/>
        </w:rPr>
        <w:t>:</w:t>
      </w:r>
    </w:p>
    <w:p w14:paraId="7825C702"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EC2852" w:rsidRPr="00C13582" w14:paraId="7825C704" w14:textId="77777777" w:rsidTr="009E5D1C">
        <w:trPr>
          <w:trHeight w:val="2835"/>
        </w:trPr>
        <w:tc>
          <w:tcPr>
            <w:tcW w:w="9134" w:type="dxa"/>
          </w:tcPr>
          <w:p w14:paraId="7825C703" w14:textId="77777777" w:rsidR="00EC2852" w:rsidRPr="00C13582" w:rsidRDefault="00EC2852" w:rsidP="00793FE7">
            <w:pPr>
              <w:pStyle w:val="ListParagraph"/>
              <w:ind w:left="0"/>
              <w:jc w:val="both"/>
              <w:rPr>
                <w:rFonts w:ascii="Times New Roman" w:hAnsi="Times New Roman" w:cs="Times New Roman"/>
                <w:sz w:val="24"/>
                <w:szCs w:val="24"/>
              </w:rPr>
            </w:pPr>
          </w:p>
        </w:tc>
      </w:tr>
    </w:tbl>
    <w:p w14:paraId="7825C705" w14:textId="77777777" w:rsidR="00F04E73" w:rsidRPr="00910E34" w:rsidRDefault="00F04E73" w:rsidP="00910E34">
      <w:pPr>
        <w:spacing w:after="0" w:line="240" w:lineRule="auto"/>
        <w:jc w:val="both"/>
        <w:rPr>
          <w:rFonts w:ascii="Times New Roman" w:hAnsi="Times New Roman" w:cs="Times New Roman"/>
          <w:sz w:val="24"/>
          <w:szCs w:val="24"/>
        </w:rPr>
      </w:pPr>
    </w:p>
    <w:p w14:paraId="7825C706" w14:textId="77777777" w:rsidR="00F04E73" w:rsidRPr="00C13582" w:rsidRDefault="00F04E73" w:rsidP="00E033B1">
      <w:pPr>
        <w:spacing w:after="0" w:line="240" w:lineRule="auto"/>
        <w:jc w:val="both"/>
        <w:rPr>
          <w:rFonts w:ascii="Times New Roman" w:hAnsi="Times New Roman" w:cs="Times New Roman"/>
          <w:sz w:val="24"/>
          <w:szCs w:val="24"/>
        </w:rPr>
      </w:pPr>
    </w:p>
    <w:p w14:paraId="7825C707" w14:textId="77777777" w:rsidR="00EC2852" w:rsidRDefault="00C3614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Indicate</w:t>
      </w:r>
      <w:r w:rsidR="00C55534">
        <w:rPr>
          <w:rFonts w:ascii="Times New Roman" w:hAnsi="Times New Roman" w:cs="Times New Roman"/>
          <w:sz w:val="24"/>
          <w:szCs w:val="24"/>
        </w:rPr>
        <w:t xml:space="preserve"> why the A</w:t>
      </w:r>
      <w:r w:rsidR="00EC2852" w:rsidRPr="00C13582">
        <w:rPr>
          <w:rFonts w:ascii="Times New Roman" w:hAnsi="Times New Roman" w:cs="Times New Roman"/>
          <w:sz w:val="24"/>
          <w:szCs w:val="24"/>
        </w:rPr>
        <w:t>pplicant</w:t>
      </w:r>
      <w:r w:rsidR="00C55534">
        <w:rPr>
          <w:rFonts w:ascii="Times New Roman" w:hAnsi="Times New Roman" w:cs="Times New Roman"/>
          <w:sz w:val="24"/>
          <w:szCs w:val="24"/>
        </w:rPr>
        <w:t>’</w:t>
      </w:r>
      <w:r w:rsidR="00EC2852" w:rsidRPr="00C13582">
        <w:rPr>
          <w:rFonts w:ascii="Times New Roman" w:hAnsi="Times New Roman" w:cs="Times New Roman"/>
          <w:sz w:val="24"/>
          <w:szCs w:val="24"/>
        </w:rPr>
        <w:t>s activit</w:t>
      </w:r>
      <w:r w:rsidR="006F1F05" w:rsidRPr="00C13582">
        <w:rPr>
          <w:rFonts w:ascii="Times New Roman" w:hAnsi="Times New Roman" w:cs="Times New Roman"/>
          <w:sz w:val="24"/>
          <w:szCs w:val="24"/>
        </w:rPr>
        <w:t>y</w:t>
      </w:r>
      <w:r w:rsidR="00C13582" w:rsidRPr="00C13582">
        <w:rPr>
          <w:rFonts w:ascii="Times New Roman" w:hAnsi="Times New Roman" w:cs="Times New Roman"/>
          <w:sz w:val="24"/>
          <w:szCs w:val="24"/>
        </w:rPr>
        <w:t xml:space="preserve"> is considered to be </w:t>
      </w:r>
      <w:r w:rsidR="006F1F05" w:rsidRPr="00C13582">
        <w:rPr>
          <w:rFonts w:ascii="Times New Roman" w:hAnsi="Times New Roman" w:cs="Times New Roman"/>
          <w:sz w:val="24"/>
          <w:szCs w:val="24"/>
        </w:rPr>
        <w:t>by way of business</w:t>
      </w:r>
      <w:r w:rsidR="00C13582" w:rsidRPr="00C13582">
        <w:rPr>
          <w:rFonts w:ascii="Times New Roman" w:hAnsi="Times New Roman" w:cs="Times New Roman"/>
          <w:sz w:val="24"/>
          <w:szCs w:val="24"/>
        </w:rPr>
        <w:t xml:space="preserve"> as</w:t>
      </w:r>
      <w:r w:rsidR="006F1F05" w:rsidRPr="00C13582">
        <w:rPr>
          <w:rFonts w:ascii="Times New Roman" w:hAnsi="Times New Roman" w:cs="Times New Roman"/>
          <w:sz w:val="24"/>
          <w:szCs w:val="24"/>
        </w:rPr>
        <w:t xml:space="preserve"> </w:t>
      </w:r>
      <w:r w:rsidR="00EC2852" w:rsidRPr="00C13582">
        <w:rPr>
          <w:rFonts w:ascii="Times New Roman" w:hAnsi="Times New Roman" w:cs="Times New Roman"/>
          <w:sz w:val="24"/>
          <w:szCs w:val="24"/>
        </w:rPr>
        <w:t>defin</w:t>
      </w:r>
      <w:r w:rsidR="006F1F05" w:rsidRPr="00C13582">
        <w:rPr>
          <w:rFonts w:ascii="Times New Roman" w:hAnsi="Times New Roman" w:cs="Times New Roman"/>
          <w:sz w:val="24"/>
          <w:szCs w:val="24"/>
        </w:rPr>
        <w:t xml:space="preserve">ed </w:t>
      </w:r>
      <w:r>
        <w:rPr>
          <w:rFonts w:ascii="Times New Roman" w:hAnsi="Times New Roman" w:cs="Times New Roman"/>
          <w:sz w:val="24"/>
          <w:szCs w:val="24"/>
        </w:rPr>
        <w:t>i</w:t>
      </w:r>
      <w:r w:rsidR="00EC2852" w:rsidRPr="00C13582">
        <w:rPr>
          <w:rFonts w:ascii="Times New Roman" w:hAnsi="Times New Roman" w:cs="Times New Roman"/>
          <w:sz w:val="24"/>
          <w:szCs w:val="24"/>
        </w:rPr>
        <w:t xml:space="preserve">n Section </w:t>
      </w:r>
      <w:r w:rsidR="00C13582" w:rsidRPr="00C13582">
        <w:rPr>
          <w:rFonts w:ascii="Times New Roman" w:hAnsi="Times New Roman" w:cs="Times New Roman"/>
          <w:sz w:val="24"/>
          <w:szCs w:val="24"/>
        </w:rPr>
        <w:t>5</w:t>
      </w:r>
      <w:r w:rsidR="00EC2852" w:rsidRPr="00C13582">
        <w:rPr>
          <w:rFonts w:ascii="Times New Roman" w:hAnsi="Times New Roman" w:cs="Times New Roman"/>
          <w:sz w:val="24"/>
          <w:szCs w:val="24"/>
        </w:rPr>
        <w:t xml:space="preserve">8 </w:t>
      </w:r>
      <w:r w:rsidR="007C03D8" w:rsidRPr="007C03D8">
        <w:rPr>
          <w:rFonts w:ascii="Times New Roman" w:hAnsi="Times New Roman" w:cs="Times New Roman"/>
          <w:sz w:val="24"/>
          <w:szCs w:val="24"/>
        </w:rPr>
        <w:t>of the Law</w:t>
      </w:r>
      <w:r w:rsidR="007C03D8" w:rsidRPr="00147712">
        <w:rPr>
          <w:rFonts w:ascii="Times New Roman" w:hAnsi="Times New Roman" w:cs="Times New Roman"/>
          <w:sz w:val="20"/>
          <w:szCs w:val="20"/>
        </w:rPr>
        <w:t xml:space="preserve"> </w:t>
      </w:r>
      <w:r w:rsidR="00EC2852" w:rsidRPr="00F614B8">
        <w:rPr>
          <w:rFonts w:ascii="Times New Roman" w:hAnsi="Times New Roman" w:cs="Times New Roman"/>
          <w:i/>
          <w:sz w:val="20"/>
          <w:szCs w:val="20"/>
        </w:rPr>
        <w:t>(an ex</w:t>
      </w:r>
      <w:r w:rsidR="006F1F05" w:rsidRPr="00F614B8">
        <w:rPr>
          <w:rFonts w:ascii="Times New Roman" w:hAnsi="Times New Roman" w:cs="Times New Roman"/>
          <w:i/>
          <w:sz w:val="20"/>
          <w:szCs w:val="20"/>
        </w:rPr>
        <w:t>empt</w:t>
      </w:r>
      <w:r w:rsidR="00C13582" w:rsidRPr="00F614B8">
        <w:rPr>
          <w:rFonts w:ascii="Times New Roman" w:hAnsi="Times New Roman" w:cs="Times New Roman"/>
          <w:i/>
          <w:sz w:val="20"/>
          <w:szCs w:val="20"/>
        </w:rPr>
        <w:t>i</w:t>
      </w:r>
      <w:r w:rsidR="006F1F05" w:rsidRPr="00F614B8">
        <w:rPr>
          <w:rFonts w:ascii="Times New Roman" w:hAnsi="Times New Roman" w:cs="Times New Roman"/>
          <w:i/>
          <w:sz w:val="20"/>
          <w:szCs w:val="20"/>
        </w:rPr>
        <w:t>on</w:t>
      </w:r>
      <w:r w:rsidR="00EC2852" w:rsidRPr="00F614B8">
        <w:rPr>
          <w:rFonts w:ascii="Times New Roman" w:hAnsi="Times New Roman" w:cs="Times New Roman"/>
          <w:i/>
          <w:sz w:val="20"/>
          <w:szCs w:val="20"/>
        </w:rPr>
        <w:t xml:space="preserve"> is </w:t>
      </w:r>
      <w:r w:rsidR="006F1F05" w:rsidRPr="00F614B8">
        <w:rPr>
          <w:rFonts w:ascii="Times New Roman" w:hAnsi="Times New Roman" w:cs="Times New Roman"/>
          <w:i/>
          <w:sz w:val="20"/>
          <w:szCs w:val="20"/>
        </w:rPr>
        <w:t xml:space="preserve">not </w:t>
      </w:r>
      <w:r w:rsidR="00EC2852" w:rsidRPr="00F614B8">
        <w:rPr>
          <w:rFonts w:ascii="Times New Roman" w:hAnsi="Times New Roman" w:cs="Times New Roman"/>
          <w:i/>
          <w:sz w:val="20"/>
          <w:szCs w:val="20"/>
        </w:rPr>
        <w:t>required</w:t>
      </w:r>
      <w:r w:rsidR="006F1F05" w:rsidRPr="00F614B8">
        <w:rPr>
          <w:rFonts w:ascii="Times New Roman" w:hAnsi="Times New Roman" w:cs="Times New Roman"/>
          <w:i/>
          <w:sz w:val="20"/>
          <w:szCs w:val="20"/>
        </w:rPr>
        <w:t xml:space="preserve"> if the applicant is not acting by way of business)</w:t>
      </w:r>
      <w:r w:rsidR="00E033B1" w:rsidRPr="00F614B8">
        <w:rPr>
          <w:rFonts w:ascii="Times New Roman" w:hAnsi="Times New Roman" w:cs="Times New Roman"/>
          <w:i/>
          <w:sz w:val="20"/>
          <w:szCs w:val="20"/>
        </w:rPr>
        <w:t>:</w:t>
      </w:r>
      <w:r w:rsidR="00EC2852" w:rsidRPr="00C13582">
        <w:rPr>
          <w:rFonts w:ascii="Times New Roman" w:hAnsi="Times New Roman" w:cs="Times New Roman"/>
          <w:sz w:val="24"/>
          <w:szCs w:val="24"/>
        </w:rPr>
        <w:t xml:space="preserve"> </w:t>
      </w:r>
    </w:p>
    <w:p w14:paraId="7825C708"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F1F05" w:rsidRPr="00C13582" w14:paraId="7825C70A" w14:textId="77777777" w:rsidTr="00793FE7">
        <w:trPr>
          <w:trHeight w:val="1701"/>
        </w:trPr>
        <w:tc>
          <w:tcPr>
            <w:tcW w:w="9134" w:type="dxa"/>
          </w:tcPr>
          <w:p w14:paraId="7825C709" w14:textId="77777777" w:rsidR="006F1F05" w:rsidRPr="00C13582" w:rsidRDefault="006F1F05" w:rsidP="00793FE7">
            <w:pPr>
              <w:jc w:val="both"/>
              <w:rPr>
                <w:rFonts w:ascii="Times New Roman" w:hAnsi="Times New Roman" w:cs="Times New Roman"/>
                <w:sz w:val="24"/>
                <w:szCs w:val="24"/>
              </w:rPr>
            </w:pPr>
          </w:p>
        </w:tc>
      </w:tr>
    </w:tbl>
    <w:p w14:paraId="7825C70B" w14:textId="77777777" w:rsidR="00F614B8" w:rsidRDefault="00F614B8" w:rsidP="00E033B1">
      <w:pPr>
        <w:spacing w:after="0" w:line="240" w:lineRule="auto"/>
        <w:jc w:val="both"/>
        <w:rPr>
          <w:rFonts w:ascii="Times New Roman" w:hAnsi="Times New Roman" w:cs="Times New Roman"/>
          <w:sz w:val="24"/>
          <w:szCs w:val="24"/>
        </w:rPr>
      </w:pPr>
    </w:p>
    <w:p w14:paraId="7825C70C" w14:textId="77777777" w:rsidR="002B50CD" w:rsidRDefault="002B50CD" w:rsidP="00E033B1">
      <w:pPr>
        <w:spacing w:after="0" w:line="240" w:lineRule="auto"/>
        <w:jc w:val="both"/>
        <w:rPr>
          <w:rFonts w:ascii="Times New Roman" w:hAnsi="Times New Roman" w:cs="Times New Roman"/>
          <w:sz w:val="24"/>
          <w:szCs w:val="24"/>
        </w:rPr>
      </w:pPr>
    </w:p>
    <w:p w14:paraId="7825C70D" w14:textId="77777777" w:rsidR="002B50CD" w:rsidRPr="00C13582" w:rsidRDefault="002B50CD" w:rsidP="00E033B1">
      <w:pPr>
        <w:spacing w:after="0" w:line="240" w:lineRule="auto"/>
        <w:jc w:val="both"/>
        <w:rPr>
          <w:rFonts w:ascii="Times New Roman" w:hAnsi="Times New Roman" w:cs="Times New Roman"/>
          <w:sz w:val="24"/>
          <w:szCs w:val="24"/>
        </w:rPr>
      </w:pPr>
    </w:p>
    <w:p w14:paraId="7825C70E" w14:textId="77777777" w:rsidR="00E033B1" w:rsidRDefault="00450643" w:rsidP="00E033B1">
      <w:pPr>
        <w:pStyle w:val="ListParagraph"/>
        <w:numPr>
          <w:ilvl w:val="0"/>
          <w:numId w:val="1"/>
        </w:numPr>
        <w:spacing w:after="0" w:line="240" w:lineRule="auto"/>
        <w:ind w:left="284" w:hanging="284"/>
        <w:jc w:val="both"/>
        <w:rPr>
          <w:rFonts w:ascii="Times New Roman" w:hAnsi="Times New Roman" w:cs="Times New Roman"/>
          <w:sz w:val="24"/>
          <w:szCs w:val="24"/>
        </w:rPr>
      </w:pPr>
      <w:r w:rsidRPr="006D12EF">
        <w:rPr>
          <w:rFonts w:ascii="Times New Roman" w:hAnsi="Times New Roman" w:cs="Times New Roman"/>
          <w:sz w:val="24"/>
          <w:szCs w:val="24"/>
        </w:rPr>
        <w:lastRenderedPageBreak/>
        <w:t>Details</w:t>
      </w:r>
      <w:r w:rsidR="00C13582" w:rsidRPr="006D12EF">
        <w:rPr>
          <w:rFonts w:ascii="Times New Roman" w:hAnsi="Times New Roman" w:cs="Times New Roman"/>
          <w:sz w:val="24"/>
          <w:szCs w:val="24"/>
        </w:rPr>
        <w:t xml:space="preserve"> of the part</w:t>
      </w:r>
      <w:r w:rsidR="00E033B1" w:rsidRPr="006D12EF">
        <w:rPr>
          <w:rFonts w:ascii="Times New Roman" w:hAnsi="Times New Roman" w:cs="Times New Roman"/>
          <w:sz w:val="24"/>
          <w:szCs w:val="24"/>
        </w:rPr>
        <w:t>y</w:t>
      </w:r>
      <w:r w:rsidR="00C13582" w:rsidRPr="006D12EF">
        <w:rPr>
          <w:rFonts w:ascii="Times New Roman" w:hAnsi="Times New Roman" w:cs="Times New Roman"/>
          <w:sz w:val="24"/>
          <w:szCs w:val="24"/>
        </w:rPr>
        <w:t xml:space="preserve"> for who</w:t>
      </w:r>
      <w:r w:rsidR="00BA7D77" w:rsidRPr="006D12EF">
        <w:rPr>
          <w:rFonts w:ascii="Times New Roman" w:hAnsi="Times New Roman" w:cs="Times New Roman"/>
          <w:sz w:val="24"/>
          <w:szCs w:val="24"/>
        </w:rPr>
        <w:t xml:space="preserve">m </w:t>
      </w:r>
      <w:r w:rsidR="008A14B5" w:rsidRPr="006D12EF">
        <w:rPr>
          <w:rFonts w:ascii="Times New Roman" w:hAnsi="Times New Roman" w:cs="Times New Roman"/>
          <w:sz w:val="24"/>
          <w:szCs w:val="24"/>
        </w:rPr>
        <w:t xml:space="preserve">or in relation to whom </w:t>
      </w:r>
      <w:r w:rsidR="00BA7D77" w:rsidRPr="006D12EF">
        <w:rPr>
          <w:rFonts w:ascii="Times New Roman" w:hAnsi="Times New Roman" w:cs="Times New Roman"/>
          <w:sz w:val="24"/>
          <w:szCs w:val="24"/>
        </w:rPr>
        <w:t xml:space="preserve">the </w:t>
      </w:r>
      <w:r w:rsidR="007C03D8" w:rsidRPr="006D12EF">
        <w:rPr>
          <w:rFonts w:ascii="Times New Roman" w:hAnsi="Times New Roman" w:cs="Times New Roman"/>
          <w:sz w:val="24"/>
          <w:szCs w:val="24"/>
        </w:rPr>
        <w:t>A</w:t>
      </w:r>
      <w:r w:rsidR="00BA7D77" w:rsidRPr="006D12EF">
        <w:rPr>
          <w:rFonts w:ascii="Times New Roman" w:hAnsi="Times New Roman" w:cs="Times New Roman"/>
          <w:sz w:val="24"/>
          <w:szCs w:val="24"/>
        </w:rPr>
        <w:t>pplicant</w:t>
      </w:r>
      <w:r w:rsidR="006D12EF">
        <w:rPr>
          <w:rFonts w:ascii="Times New Roman" w:hAnsi="Times New Roman" w:cs="Times New Roman"/>
          <w:sz w:val="24"/>
          <w:szCs w:val="24"/>
        </w:rPr>
        <w:t xml:space="preserve"> will be acting:</w:t>
      </w:r>
    </w:p>
    <w:p w14:paraId="7825C70F" w14:textId="77777777" w:rsidR="009E5D1C" w:rsidRPr="009E5D1C" w:rsidRDefault="009E5D1C" w:rsidP="009E5D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D12EF" w:rsidRPr="00C13582" w14:paraId="7825C712" w14:textId="77777777" w:rsidTr="006D12EF">
        <w:trPr>
          <w:trHeight w:val="567"/>
        </w:trPr>
        <w:tc>
          <w:tcPr>
            <w:tcW w:w="9134" w:type="dxa"/>
          </w:tcPr>
          <w:p w14:paraId="7825C710" w14:textId="77777777" w:rsidR="006D12EF"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825C711"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7825C715" w14:textId="77777777" w:rsidTr="006D12EF">
        <w:trPr>
          <w:trHeight w:val="1701"/>
        </w:trPr>
        <w:tc>
          <w:tcPr>
            <w:tcW w:w="9134" w:type="dxa"/>
          </w:tcPr>
          <w:p w14:paraId="7825C713" w14:textId="77777777" w:rsidR="006D12EF" w:rsidRPr="00C13582"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825C714"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7825C718" w14:textId="77777777" w:rsidTr="002B50CD">
        <w:trPr>
          <w:trHeight w:val="2242"/>
        </w:trPr>
        <w:tc>
          <w:tcPr>
            <w:tcW w:w="9134" w:type="dxa"/>
          </w:tcPr>
          <w:p w14:paraId="7825C716" w14:textId="77777777" w:rsidR="006D12EF" w:rsidRPr="006D12EF" w:rsidRDefault="006D12EF" w:rsidP="00322DCC">
            <w:pPr>
              <w:jc w:val="both"/>
              <w:rPr>
                <w:rFonts w:ascii="Times New Roman" w:hAnsi="Times New Roman" w:cs="Times New Roman"/>
                <w:sz w:val="24"/>
                <w:szCs w:val="24"/>
              </w:rPr>
            </w:pPr>
            <w:r w:rsidRPr="006D12EF">
              <w:rPr>
                <w:rFonts w:ascii="Times New Roman" w:hAnsi="Times New Roman" w:cs="Times New Roman"/>
                <w:sz w:val="24"/>
                <w:szCs w:val="24"/>
              </w:rPr>
              <w:t xml:space="preserve">Directors/controllers: </w:t>
            </w:r>
            <w:r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14:paraId="7825C717" w14:textId="77777777" w:rsidR="006D12EF" w:rsidRDefault="006D12EF" w:rsidP="00322DCC">
            <w:pPr>
              <w:pStyle w:val="ListParagraph"/>
              <w:ind w:left="0"/>
              <w:jc w:val="both"/>
              <w:rPr>
                <w:rFonts w:ascii="Times New Roman" w:hAnsi="Times New Roman" w:cs="Times New Roman"/>
                <w:sz w:val="24"/>
                <w:szCs w:val="24"/>
              </w:rPr>
            </w:pPr>
          </w:p>
        </w:tc>
      </w:tr>
    </w:tbl>
    <w:p w14:paraId="7825C719" w14:textId="77777777" w:rsidR="00F04E73" w:rsidRPr="00910E34" w:rsidRDefault="00F04E73" w:rsidP="00910E34">
      <w:pPr>
        <w:spacing w:after="0" w:line="240" w:lineRule="auto"/>
        <w:jc w:val="both"/>
        <w:rPr>
          <w:rFonts w:ascii="Times New Roman" w:hAnsi="Times New Roman" w:cs="Times New Roman"/>
          <w:sz w:val="24"/>
          <w:szCs w:val="24"/>
        </w:rPr>
      </w:pPr>
    </w:p>
    <w:p w14:paraId="7825C71A" w14:textId="77777777" w:rsidR="00C13582" w:rsidRDefault="007C03D8"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Indicate </w:t>
      </w:r>
      <w:r w:rsidR="006D12EF">
        <w:rPr>
          <w:rFonts w:ascii="Times New Roman" w:hAnsi="Times New Roman" w:cs="Times New Roman"/>
          <w:sz w:val="24"/>
          <w:szCs w:val="24"/>
        </w:rPr>
        <w:t>the objectives of the partnership</w:t>
      </w:r>
      <w:r w:rsidR="003A4FC1">
        <w:rPr>
          <w:rFonts w:ascii="Times New Roman" w:hAnsi="Times New Roman" w:cs="Times New Roman"/>
          <w:sz w:val="24"/>
          <w:szCs w:val="24"/>
        </w:rPr>
        <w:t>/structure</w:t>
      </w:r>
      <w:r w:rsidR="006D12EF">
        <w:rPr>
          <w:rFonts w:ascii="Times New Roman" w:hAnsi="Times New Roman" w:cs="Times New Roman"/>
          <w:sz w:val="24"/>
          <w:szCs w:val="24"/>
        </w:rPr>
        <w:t xml:space="preserve"> and </w:t>
      </w:r>
      <w:r>
        <w:rPr>
          <w:rFonts w:ascii="Times New Roman" w:hAnsi="Times New Roman" w:cs="Times New Roman"/>
          <w:sz w:val="24"/>
          <w:szCs w:val="24"/>
        </w:rPr>
        <w:t>the</w:t>
      </w:r>
      <w:r w:rsidR="00C13582" w:rsidRPr="00C13582">
        <w:rPr>
          <w:rFonts w:ascii="Times New Roman" w:hAnsi="Times New Roman" w:cs="Times New Roman"/>
          <w:sz w:val="24"/>
          <w:szCs w:val="24"/>
        </w:rPr>
        <w:t xml:space="preserve"> nature of any underlying activity or assets held with any trust, company, partnership or other type of vehicle</w:t>
      </w:r>
      <w:r w:rsidR="00E033B1">
        <w:rPr>
          <w:rFonts w:ascii="Times New Roman" w:hAnsi="Times New Roman" w:cs="Times New Roman"/>
          <w:sz w:val="24"/>
          <w:szCs w:val="24"/>
        </w:rPr>
        <w:t xml:space="preserve"> </w:t>
      </w:r>
      <w:r>
        <w:rPr>
          <w:rFonts w:ascii="Times New Roman" w:hAnsi="Times New Roman" w:cs="Times New Roman"/>
          <w:sz w:val="24"/>
          <w:szCs w:val="24"/>
        </w:rPr>
        <w:t>the Applicant</w:t>
      </w:r>
      <w:r w:rsidR="00E033B1">
        <w:rPr>
          <w:rFonts w:ascii="Times New Roman" w:hAnsi="Times New Roman" w:cs="Times New Roman"/>
          <w:sz w:val="24"/>
          <w:szCs w:val="24"/>
        </w:rPr>
        <w:t xml:space="preserve"> will be appointed to:</w:t>
      </w:r>
    </w:p>
    <w:p w14:paraId="7825C71B"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13582" w:rsidRPr="00C13582" w14:paraId="7825C71D" w14:textId="77777777" w:rsidTr="00793FE7">
        <w:trPr>
          <w:trHeight w:val="1701"/>
        </w:trPr>
        <w:tc>
          <w:tcPr>
            <w:tcW w:w="9134" w:type="dxa"/>
          </w:tcPr>
          <w:p w14:paraId="7825C71C" w14:textId="77777777" w:rsidR="00C13582" w:rsidRPr="00C13582" w:rsidRDefault="00C13582" w:rsidP="00793FE7">
            <w:pPr>
              <w:jc w:val="both"/>
              <w:rPr>
                <w:rFonts w:ascii="Times New Roman" w:hAnsi="Times New Roman" w:cs="Times New Roman"/>
                <w:sz w:val="24"/>
                <w:szCs w:val="24"/>
              </w:rPr>
            </w:pPr>
          </w:p>
        </w:tc>
      </w:tr>
    </w:tbl>
    <w:p w14:paraId="7825C71E" w14:textId="77777777" w:rsidR="00C13582" w:rsidRDefault="00C13582" w:rsidP="00E033B1">
      <w:pPr>
        <w:spacing w:after="0" w:line="240" w:lineRule="auto"/>
        <w:jc w:val="both"/>
        <w:rPr>
          <w:rFonts w:ascii="Times New Roman" w:hAnsi="Times New Roman" w:cs="Times New Roman"/>
          <w:sz w:val="24"/>
          <w:szCs w:val="24"/>
        </w:rPr>
      </w:pPr>
    </w:p>
    <w:p w14:paraId="7825C71F" w14:textId="77777777" w:rsidR="00384794" w:rsidRDefault="0038479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applicable, summarise why the Appl</w:t>
      </w:r>
      <w:r w:rsidR="00F04E73">
        <w:rPr>
          <w:rFonts w:ascii="Times New Roman" w:hAnsi="Times New Roman" w:cs="Times New Roman"/>
          <w:sz w:val="24"/>
          <w:szCs w:val="24"/>
        </w:rPr>
        <w:t>icant does not require registration or authorisation</w:t>
      </w:r>
      <w:r>
        <w:rPr>
          <w:rFonts w:ascii="Times New Roman" w:hAnsi="Times New Roman" w:cs="Times New Roman"/>
          <w:sz w:val="24"/>
          <w:szCs w:val="24"/>
        </w:rPr>
        <w:t xml:space="preserve"> under </w:t>
      </w:r>
      <w:r w:rsidR="00F04E73">
        <w:rPr>
          <w:rFonts w:ascii="Times New Roman" w:hAnsi="Times New Roman" w:cs="Times New Roman"/>
          <w:sz w:val="24"/>
          <w:szCs w:val="24"/>
        </w:rPr>
        <w:t>any of the regulatory laws</w:t>
      </w:r>
      <w:r w:rsidRPr="00910E34">
        <w:rPr>
          <w:rFonts w:ascii="Times New Roman" w:hAnsi="Times New Roman" w:cs="Times New Roman"/>
          <w:i/>
          <w:sz w:val="20"/>
          <w:szCs w:val="20"/>
        </w:rPr>
        <w:t>:</w:t>
      </w:r>
    </w:p>
    <w:p w14:paraId="7825C720" w14:textId="77777777" w:rsidR="00384794" w:rsidRPr="00C13582" w:rsidRDefault="00384794" w:rsidP="00384794">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384794" w:rsidRPr="00C13582" w14:paraId="7825C722" w14:textId="77777777" w:rsidTr="007C03D8">
        <w:trPr>
          <w:trHeight w:val="1701"/>
        </w:trPr>
        <w:tc>
          <w:tcPr>
            <w:tcW w:w="9134" w:type="dxa"/>
          </w:tcPr>
          <w:p w14:paraId="7825C721" w14:textId="77777777" w:rsidR="00384794" w:rsidRPr="00C13582" w:rsidRDefault="00384794" w:rsidP="00FD506F">
            <w:pPr>
              <w:jc w:val="both"/>
              <w:rPr>
                <w:rFonts w:ascii="Times New Roman" w:hAnsi="Times New Roman" w:cs="Times New Roman"/>
                <w:sz w:val="24"/>
                <w:szCs w:val="24"/>
              </w:rPr>
            </w:pPr>
          </w:p>
        </w:tc>
      </w:tr>
    </w:tbl>
    <w:p w14:paraId="7825C723" w14:textId="77777777" w:rsidR="002000F0" w:rsidRDefault="002000F0" w:rsidP="00910E34">
      <w:pPr>
        <w:spacing w:after="0" w:line="240" w:lineRule="auto"/>
        <w:jc w:val="both"/>
        <w:rPr>
          <w:rFonts w:ascii="Times New Roman" w:hAnsi="Times New Roman" w:cs="Times New Roman"/>
          <w:sz w:val="24"/>
          <w:szCs w:val="24"/>
        </w:rPr>
      </w:pPr>
    </w:p>
    <w:p w14:paraId="7825C724" w14:textId="77777777" w:rsidR="002000F0" w:rsidRPr="009932C7" w:rsidRDefault="002000F0" w:rsidP="009932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Confirm the identity of the proposed administrator </w:t>
      </w:r>
      <w:r w:rsidRPr="009932C7">
        <w:rPr>
          <w:rFonts w:ascii="Times New Roman" w:hAnsi="Times New Roman" w:cs="Times New Roman"/>
          <w:i/>
          <w:sz w:val="18"/>
          <w:szCs w:val="18"/>
        </w:rPr>
        <w:t xml:space="preserve">(a Bailiwick </w:t>
      </w:r>
      <w:r w:rsidR="004A100E" w:rsidRPr="004A100E">
        <w:rPr>
          <w:rFonts w:ascii="Times New Roman" w:hAnsi="Times New Roman" w:cs="Times New Roman"/>
          <w:i/>
          <w:sz w:val="18"/>
          <w:szCs w:val="18"/>
        </w:rPr>
        <w:t>licenced</w:t>
      </w:r>
      <w:r w:rsidRPr="009932C7">
        <w:rPr>
          <w:rFonts w:ascii="Times New Roman" w:hAnsi="Times New Roman" w:cs="Times New Roman"/>
          <w:i/>
          <w:sz w:val="18"/>
          <w:szCs w:val="18"/>
        </w:rPr>
        <w:t xml:space="preserve"> financial services busin</w:t>
      </w:r>
      <w:r w:rsidR="0020421F">
        <w:rPr>
          <w:rFonts w:ascii="Times New Roman" w:hAnsi="Times New Roman" w:cs="Times New Roman"/>
          <w:i/>
          <w:sz w:val="18"/>
          <w:szCs w:val="18"/>
        </w:rPr>
        <w:t>ess to whose AML/CFT controls</w:t>
      </w:r>
      <w:r w:rsidRPr="009932C7">
        <w:rPr>
          <w:rFonts w:ascii="Times New Roman" w:hAnsi="Times New Roman" w:cs="Times New Roman"/>
          <w:i/>
          <w:sz w:val="18"/>
          <w:szCs w:val="18"/>
        </w:rPr>
        <w:t xml:space="preserve"> the Applicant’s business will be subject</w:t>
      </w:r>
      <w:r>
        <w:rPr>
          <w:rFonts w:ascii="Times New Roman" w:hAnsi="Times New Roman" w:cs="Times New Roman"/>
          <w:i/>
          <w:sz w:val="18"/>
          <w:szCs w:val="18"/>
        </w:rPr>
        <w:t>):</w:t>
      </w:r>
    </w:p>
    <w:p w14:paraId="7825C725" w14:textId="77777777" w:rsidR="002000F0" w:rsidRPr="00C13582" w:rsidRDefault="002000F0" w:rsidP="009932C7">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30"/>
        <w:gridCol w:w="7778"/>
      </w:tblGrid>
      <w:tr w:rsidR="004A100E" w:rsidRPr="00C13582" w14:paraId="7825C729" w14:textId="77777777" w:rsidTr="009932C7">
        <w:trPr>
          <w:trHeight w:val="544"/>
        </w:trPr>
        <w:tc>
          <w:tcPr>
            <w:tcW w:w="1134" w:type="dxa"/>
          </w:tcPr>
          <w:p w14:paraId="7825C726" w14:textId="77777777" w:rsidR="004A100E" w:rsidRDefault="004A100E" w:rsidP="00F50D07">
            <w:pPr>
              <w:jc w:val="both"/>
              <w:rPr>
                <w:rFonts w:ascii="Times New Roman" w:hAnsi="Times New Roman" w:cs="Times New Roman"/>
                <w:sz w:val="24"/>
                <w:szCs w:val="24"/>
              </w:rPr>
            </w:pPr>
            <w:r>
              <w:rPr>
                <w:rFonts w:ascii="Times New Roman" w:hAnsi="Times New Roman" w:cs="Times New Roman"/>
                <w:sz w:val="24"/>
                <w:szCs w:val="24"/>
              </w:rPr>
              <w:t>Name</w:t>
            </w:r>
          </w:p>
          <w:p w14:paraId="7825C727" w14:textId="77777777" w:rsidR="004A100E" w:rsidRPr="00C13582" w:rsidRDefault="004A100E" w:rsidP="00F50D07">
            <w:pPr>
              <w:jc w:val="both"/>
              <w:rPr>
                <w:rFonts w:ascii="Times New Roman" w:hAnsi="Times New Roman" w:cs="Times New Roman"/>
                <w:sz w:val="24"/>
                <w:szCs w:val="24"/>
              </w:rPr>
            </w:pPr>
          </w:p>
        </w:tc>
        <w:tc>
          <w:tcPr>
            <w:tcW w:w="8000" w:type="dxa"/>
          </w:tcPr>
          <w:p w14:paraId="7825C728" w14:textId="77777777" w:rsidR="004A100E" w:rsidRDefault="004A100E" w:rsidP="00F50D07">
            <w:pPr>
              <w:jc w:val="both"/>
              <w:rPr>
                <w:rFonts w:ascii="Times New Roman" w:hAnsi="Times New Roman" w:cs="Times New Roman"/>
                <w:sz w:val="24"/>
                <w:szCs w:val="24"/>
              </w:rPr>
            </w:pPr>
          </w:p>
        </w:tc>
      </w:tr>
      <w:tr w:rsidR="004A100E" w:rsidRPr="00C13582" w14:paraId="7825C72C" w14:textId="77777777" w:rsidTr="009932C7">
        <w:trPr>
          <w:trHeight w:val="1261"/>
        </w:trPr>
        <w:tc>
          <w:tcPr>
            <w:tcW w:w="1134" w:type="dxa"/>
          </w:tcPr>
          <w:p w14:paraId="7825C72A" w14:textId="77777777" w:rsidR="004A100E" w:rsidRDefault="004A100E" w:rsidP="00F50D07">
            <w:pPr>
              <w:jc w:val="both"/>
              <w:rPr>
                <w:rFonts w:ascii="Times New Roman" w:hAnsi="Times New Roman" w:cs="Times New Roman"/>
                <w:sz w:val="24"/>
                <w:szCs w:val="24"/>
              </w:rPr>
            </w:pPr>
            <w:r w:rsidRPr="004A100E">
              <w:rPr>
                <w:rFonts w:ascii="Times New Roman" w:hAnsi="Times New Roman" w:cs="Times New Roman"/>
                <w:sz w:val="24"/>
                <w:szCs w:val="24"/>
              </w:rPr>
              <w:t>Address</w:t>
            </w:r>
          </w:p>
        </w:tc>
        <w:tc>
          <w:tcPr>
            <w:tcW w:w="8000" w:type="dxa"/>
          </w:tcPr>
          <w:p w14:paraId="7825C72B" w14:textId="77777777" w:rsidR="004A100E" w:rsidRPr="004A100E" w:rsidRDefault="004A100E" w:rsidP="00F50D07">
            <w:pPr>
              <w:jc w:val="both"/>
              <w:rPr>
                <w:rFonts w:ascii="Times New Roman" w:hAnsi="Times New Roman" w:cs="Times New Roman"/>
                <w:sz w:val="24"/>
                <w:szCs w:val="24"/>
              </w:rPr>
            </w:pPr>
          </w:p>
        </w:tc>
      </w:tr>
    </w:tbl>
    <w:p w14:paraId="7825C72D" w14:textId="77777777" w:rsidR="002000F0" w:rsidRPr="00910E34" w:rsidRDefault="002000F0" w:rsidP="00910E34">
      <w:pPr>
        <w:spacing w:after="0" w:line="240" w:lineRule="auto"/>
        <w:jc w:val="both"/>
        <w:rPr>
          <w:rFonts w:ascii="Times New Roman" w:hAnsi="Times New Roman" w:cs="Times New Roman"/>
          <w:sz w:val="24"/>
          <w:szCs w:val="24"/>
        </w:rPr>
      </w:pPr>
    </w:p>
    <w:p w14:paraId="7825C72E"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14:paraId="7825C72F"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134"/>
      </w:tblGrid>
      <w:tr w:rsidR="00C55534" w:rsidRPr="00C13582" w14:paraId="7825C731" w14:textId="77777777" w:rsidTr="007C03D8">
        <w:trPr>
          <w:trHeight w:val="1701"/>
        </w:trPr>
        <w:tc>
          <w:tcPr>
            <w:tcW w:w="9134" w:type="dxa"/>
          </w:tcPr>
          <w:p w14:paraId="7825C730" w14:textId="77777777" w:rsidR="00C55534" w:rsidRPr="00C13582" w:rsidRDefault="00C55534" w:rsidP="007C03D8">
            <w:pPr>
              <w:jc w:val="both"/>
              <w:rPr>
                <w:rFonts w:ascii="Times New Roman" w:hAnsi="Times New Roman" w:cs="Times New Roman"/>
                <w:sz w:val="24"/>
                <w:szCs w:val="24"/>
              </w:rPr>
            </w:pPr>
          </w:p>
        </w:tc>
      </w:tr>
    </w:tbl>
    <w:p w14:paraId="7825C732" w14:textId="77777777" w:rsidR="002B50CD" w:rsidRDefault="002B50CD" w:rsidP="00695F77">
      <w:pPr>
        <w:spacing w:after="0" w:line="240" w:lineRule="auto"/>
        <w:jc w:val="both"/>
        <w:rPr>
          <w:rFonts w:ascii="Times New Roman" w:hAnsi="Times New Roman" w:cs="Times New Roman"/>
          <w:b/>
          <w:sz w:val="24"/>
          <w:szCs w:val="24"/>
        </w:rPr>
      </w:pPr>
    </w:p>
    <w:p w14:paraId="7825C733"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7825C734" w14:textId="77777777" w:rsidR="00695F77" w:rsidRDefault="00695F77" w:rsidP="00695F77">
      <w:pPr>
        <w:spacing w:after="0" w:line="240" w:lineRule="auto"/>
        <w:jc w:val="both"/>
        <w:rPr>
          <w:rFonts w:ascii="Times New Roman" w:hAnsi="Times New Roman" w:cs="Times New Roman"/>
          <w:b/>
          <w:sz w:val="24"/>
          <w:szCs w:val="24"/>
        </w:rPr>
      </w:pPr>
    </w:p>
    <w:p w14:paraId="7825C735" w14:textId="77777777"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documentation/information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14:paraId="7825C736" w14:textId="77777777"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06"/>
        <w:gridCol w:w="236"/>
      </w:tblGrid>
      <w:tr w:rsidR="00695F77" w:rsidRPr="005C0E4C" w14:paraId="7825C739" w14:textId="77777777" w:rsidTr="00EB3E77">
        <w:tc>
          <w:tcPr>
            <w:tcW w:w="9006" w:type="dxa"/>
            <w:vMerge w:val="restart"/>
            <w:tcBorders>
              <w:top w:val="nil"/>
              <w:left w:val="nil"/>
              <w:bottom w:val="nil"/>
              <w:right w:val="single" w:sz="4" w:space="0" w:color="auto"/>
            </w:tcBorders>
          </w:tcPr>
          <w:p w14:paraId="7825C737" w14:textId="77777777" w:rsidR="00695F77" w:rsidRPr="002C20F1" w:rsidRDefault="00BA7D77" w:rsidP="002C20F1">
            <w:pPr>
              <w:pStyle w:val="ListParagraph"/>
              <w:numPr>
                <w:ilvl w:val="0"/>
                <w:numId w:val="7"/>
              </w:numPr>
              <w:rPr>
                <w:rFonts w:ascii="Times New Roman" w:hAnsi="Times New Roman" w:cs="Times New Roman"/>
                <w:sz w:val="24"/>
                <w:szCs w:val="24"/>
              </w:rPr>
            </w:pPr>
            <w:r w:rsidRPr="005C0E4C">
              <w:rPr>
                <w:rFonts w:ascii="Times New Roman" w:hAnsi="Times New Roman" w:cs="Times New Roman"/>
                <w:sz w:val="24"/>
                <w:szCs w:val="24"/>
              </w:rPr>
              <w:t>A</w:t>
            </w:r>
            <w:r w:rsidR="00844B32">
              <w:rPr>
                <w:rFonts w:ascii="Times New Roman" w:hAnsi="Times New Roman" w:cs="Times New Roman"/>
                <w:sz w:val="24"/>
                <w:szCs w:val="24"/>
              </w:rPr>
              <w:t xml:space="preserve"> structure chart </w:t>
            </w:r>
            <w:r w:rsidR="00ED31C9">
              <w:rPr>
                <w:rFonts w:ascii="Times New Roman" w:hAnsi="Times New Roman" w:cs="Times New Roman"/>
                <w:sz w:val="24"/>
                <w:szCs w:val="24"/>
              </w:rPr>
              <w:t>showing</w:t>
            </w:r>
            <w:r w:rsidR="00844B32">
              <w:rPr>
                <w:rFonts w:ascii="Times New Roman" w:hAnsi="Times New Roman" w:cs="Times New Roman"/>
                <w:sz w:val="24"/>
                <w:szCs w:val="24"/>
              </w:rPr>
              <w:t xml:space="preserve"> </w:t>
            </w:r>
            <w:r w:rsidR="00ED31C9">
              <w:rPr>
                <w:rFonts w:ascii="Times New Roman" w:hAnsi="Times New Roman" w:cs="Times New Roman"/>
                <w:sz w:val="24"/>
                <w:szCs w:val="24"/>
              </w:rPr>
              <w:t xml:space="preserve">all </w:t>
            </w:r>
            <w:r w:rsidR="00844B32">
              <w:rPr>
                <w:rFonts w:ascii="Times New Roman" w:hAnsi="Times New Roman" w:cs="Times New Roman"/>
                <w:sz w:val="24"/>
                <w:szCs w:val="24"/>
              </w:rPr>
              <w:t xml:space="preserve">the </w:t>
            </w:r>
            <w:r w:rsidR="00ED31C9">
              <w:rPr>
                <w:rFonts w:ascii="Times New Roman" w:hAnsi="Times New Roman" w:cs="Times New Roman"/>
                <w:sz w:val="24"/>
                <w:szCs w:val="24"/>
              </w:rPr>
              <w:t xml:space="preserve">entities connected with the </w:t>
            </w:r>
            <w:r w:rsidR="00844B32">
              <w:rPr>
                <w:rFonts w:ascii="Times New Roman" w:hAnsi="Times New Roman" w:cs="Times New Roman"/>
                <w:sz w:val="24"/>
                <w:szCs w:val="24"/>
              </w:rPr>
              <w:t>A</w:t>
            </w:r>
            <w:r w:rsidRPr="005C0E4C">
              <w:rPr>
                <w:rFonts w:ascii="Times New Roman" w:hAnsi="Times New Roman" w:cs="Times New Roman"/>
                <w:sz w:val="24"/>
                <w:szCs w:val="24"/>
              </w:rPr>
              <w:t>pplicant.</w:t>
            </w:r>
          </w:p>
        </w:tc>
        <w:tc>
          <w:tcPr>
            <w:tcW w:w="236" w:type="dxa"/>
            <w:tcBorders>
              <w:left w:val="single" w:sz="4" w:space="0" w:color="auto"/>
              <w:bottom w:val="single" w:sz="4" w:space="0" w:color="auto"/>
            </w:tcBorders>
          </w:tcPr>
          <w:p w14:paraId="7825C738" w14:textId="77777777" w:rsidR="00695F77" w:rsidRPr="005C0E4C" w:rsidRDefault="00695F77" w:rsidP="00695F77">
            <w:pPr>
              <w:jc w:val="both"/>
              <w:rPr>
                <w:rFonts w:ascii="Times New Roman" w:hAnsi="Times New Roman" w:cs="Times New Roman"/>
                <w:sz w:val="24"/>
                <w:szCs w:val="24"/>
              </w:rPr>
            </w:pPr>
          </w:p>
        </w:tc>
      </w:tr>
      <w:tr w:rsidR="00695F77" w:rsidRPr="005C0E4C" w14:paraId="7825C73C" w14:textId="77777777" w:rsidTr="00EB3E77">
        <w:trPr>
          <w:trHeight w:val="475"/>
        </w:trPr>
        <w:tc>
          <w:tcPr>
            <w:tcW w:w="9006" w:type="dxa"/>
            <w:vMerge/>
            <w:tcBorders>
              <w:top w:val="nil"/>
              <w:left w:val="nil"/>
              <w:bottom w:val="nil"/>
              <w:right w:val="nil"/>
            </w:tcBorders>
          </w:tcPr>
          <w:p w14:paraId="7825C73A"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7825C73B" w14:textId="77777777" w:rsidR="00695F77" w:rsidRPr="005C0E4C" w:rsidRDefault="00695F77" w:rsidP="00695F77">
            <w:pPr>
              <w:jc w:val="both"/>
              <w:rPr>
                <w:rFonts w:ascii="Times New Roman" w:hAnsi="Times New Roman" w:cs="Times New Roman"/>
                <w:sz w:val="24"/>
                <w:szCs w:val="24"/>
              </w:rPr>
            </w:pPr>
          </w:p>
        </w:tc>
      </w:tr>
      <w:tr w:rsidR="00695F77" w:rsidRPr="005C0E4C" w14:paraId="7825C740" w14:textId="77777777" w:rsidTr="00EB3E77">
        <w:tc>
          <w:tcPr>
            <w:tcW w:w="9006" w:type="dxa"/>
            <w:vMerge w:val="restart"/>
            <w:tcBorders>
              <w:top w:val="nil"/>
              <w:left w:val="nil"/>
              <w:bottom w:val="nil"/>
              <w:right w:val="single" w:sz="4" w:space="0" w:color="auto"/>
            </w:tcBorders>
          </w:tcPr>
          <w:p w14:paraId="7825C73D" w14:textId="77777777" w:rsidR="00695F77" w:rsidRPr="005C0E4C" w:rsidRDefault="00695F77" w:rsidP="00202BBA">
            <w:pPr>
              <w:pStyle w:val="ListParagraph"/>
              <w:numPr>
                <w:ilvl w:val="0"/>
                <w:numId w:val="7"/>
              </w:numPr>
              <w:jc w:val="both"/>
              <w:rPr>
                <w:rFonts w:ascii="Times New Roman" w:hAnsi="Times New Roman" w:cs="Times New Roman"/>
                <w:sz w:val="24"/>
                <w:szCs w:val="24"/>
              </w:rPr>
            </w:pPr>
            <w:r w:rsidRPr="005C0E4C">
              <w:rPr>
                <w:rFonts w:ascii="Times New Roman" w:hAnsi="Times New Roman" w:cs="Times New Roman"/>
                <w:sz w:val="24"/>
                <w:szCs w:val="24"/>
              </w:rPr>
              <w:t xml:space="preserve">The </w:t>
            </w:r>
            <w:r w:rsidR="008151EE" w:rsidRPr="005C0E4C">
              <w:rPr>
                <w:rFonts w:ascii="Times New Roman" w:hAnsi="Times New Roman" w:cs="Times New Roman"/>
                <w:sz w:val="24"/>
                <w:szCs w:val="24"/>
              </w:rPr>
              <w:t>fee as prescribed from time</w:t>
            </w:r>
            <w:r w:rsidRPr="005C0E4C">
              <w:rPr>
                <w:rFonts w:ascii="Times New Roman" w:hAnsi="Times New Roman" w:cs="Times New Roman"/>
                <w:sz w:val="24"/>
                <w:szCs w:val="24"/>
              </w:rPr>
              <w:t xml:space="preserve"> to time by Regulations m</w:t>
            </w:r>
            <w:r w:rsidR="00BA7D77" w:rsidRPr="005C0E4C">
              <w:rPr>
                <w:rFonts w:ascii="Times New Roman" w:hAnsi="Times New Roman" w:cs="Times New Roman"/>
                <w:sz w:val="24"/>
                <w:szCs w:val="24"/>
              </w:rPr>
              <w:t xml:space="preserve">ade under Section 22 of the Law </w:t>
            </w:r>
            <w:r w:rsidR="00BA7D77" w:rsidRPr="005C0E4C">
              <w:rPr>
                <w:rFonts w:ascii="Times New Roman" w:hAnsi="Times New Roman" w:cs="Times New Roman"/>
                <w:i/>
                <w:sz w:val="20"/>
                <w:szCs w:val="20"/>
              </w:rPr>
              <w:t xml:space="preserve">(Please see the Commission’s website for the </w:t>
            </w:r>
            <w:r w:rsidR="005C0E4C" w:rsidRPr="005C0E4C">
              <w:rPr>
                <w:rFonts w:ascii="Times New Roman" w:hAnsi="Times New Roman" w:cs="Times New Roman"/>
                <w:i/>
                <w:sz w:val="20"/>
                <w:szCs w:val="20"/>
              </w:rPr>
              <w:t>current fees for company/partnership exemptions and individual exemptions</w:t>
            </w:r>
            <w:r w:rsidR="000E7E7D">
              <w:rPr>
                <w:rFonts w:ascii="Times New Roman" w:hAnsi="Times New Roman" w:cs="Times New Roman"/>
                <w:i/>
                <w:sz w:val="24"/>
                <w:szCs w:val="24"/>
              </w:rPr>
              <w:t>)</w:t>
            </w:r>
          </w:p>
          <w:p w14:paraId="7825C73E" w14:textId="77777777"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7825C73F" w14:textId="77777777" w:rsidR="00695F77" w:rsidRPr="005C0E4C" w:rsidRDefault="00695F77" w:rsidP="00202BBA">
            <w:pPr>
              <w:ind w:hanging="720"/>
              <w:jc w:val="both"/>
              <w:rPr>
                <w:rFonts w:ascii="Times New Roman" w:hAnsi="Times New Roman" w:cs="Times New Roman"/>
                <w:sz w:val="24"/>
                <w:szCs w:val="24"/>
              </w:rPr>
            </w:pPr>
          </w:p>
        </w:tc>
      </w:tr>
      <w:tr w:rsidR="00695F77" w:rsidRPr="005C0E4C" w14:paraId="7825C743" w14:textId="77777777" w:rsidTr="00EB3E77">
        <w:tc>
          <w:tcPr>
            <w:tcW w:w="9006" w:type="dxa"/>
            <w:vMerge/>
            <w:tcBorders>
              <w:top w:val="nil"/>
              <w:left w:val="nil"/>
              <w:bottom w:val="nil"/>
              <w:right w:val="nil"/>
            </w:tcBorders>
          </w:tcPr>
          <w:p w14:paraId="7825C741"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7825C742" w14:textId="77777777" w:rsidR="00695F77" w:rsidRPr="005C0E4C" w:rsidRDefault="00695F77" w:rsidP="00695F77">
            <w:pPr>
              <w:jc w:val="both"/>
              <w:rPr>
                <w:rFonts w:ascii="Times New Roman" w:hAnsi="Times New Roman" w:cs="Times New Roman"/>
                <w:sz w:val="24"/>
                <w:szCs w:val="24"/>
              </w:rPr>
            </w:pPr>
          </w:p>
        </w:tc>
      </w:tr>
      <w:tr w:rsidR="00EB3E77" w:rsidRPr="005C0E4C" w14:paraId="7825C747" w14:textId="77777777" w:rsidTr="00EB3E77">
        <w:trPr>
          <w:trHeight w:val="235"/>
        </w:trPr>
        <w:tc>
          <w:tcPr>
            <w:tcW w:w="9006" w:type="dxa"/>
            <w:vMerge w:val="restart"/>
            <w:tcBorders>
              <w:top w:val="nil"/>
              <w:left w:val="nil"/>
              <w:bottom w:val="nil"/>
              <w:right w:val="single" w:sz="4" w:space="0" w:color="auto"/>
            </w:tcBorders>
          </w:tcPr>
          <w:p w14:paraId="7825C744" w14:textId="77777777" w:rsidR="00EB3E77" w:rsidRDefault="00EB3E77" w:rsidP="00EB3E7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If the</w:t>
            </w:r>
            <w:r w:rsidRPr="005C0E4C">
              <w:rPr>
                <w:rFonts w:ascii="Times New Roman" w:hAnsi="Times New Roman" w:cs="Times New Roman"/>
                <w:sz w:val="24"/>
                <w:szCs w:val="24"/>
              </w:rPr>
              <w:t xml:space="preserve"> </w:t>
            </w:r>
            <w:r>
              <w:rPr>
                <w:rFonts w:ascii="Times New Roman" w:hAnsi="Times New Roman" w:cs="Times New Roman"/>
                <w:sz w:val="24"/>
                <w:szCs w:val="24"/>
              </w:rPr>
              <w:t>Applicant</w:t>
            </w:r>
            <w:r w:rsidRPr="005C0E4C">
              <w:rPr>
                <w:rFonts w:ascii="Times New Roman" w:hAnsi="Times New Roman" w:cs="Times New Roman"/>
                <w:sz w:val="24"/>
                <w:szCs w:val="24"/>
              </w:rPr>
              <w:t xml:space="preserve"> has </w:t>
            </w:r>
            <w:r>
              <w:rPr>
                <w:rFonts w:ascii="Times New Roman" w:hAnsi="Times New Roman" w:cs="Times New Roman"/>
                <w:sz w:val="24"/>
                <w:szCs w:val="24"/>
              </w:rPr>
              <w:t xml:space="preserve">already </w:t>
            </w:r>
            <w:r w:rsidRPr="005C0E4C">
              <w:rPr>
                <w:rFonts w:ascii="Times New Roman" w:hAnsi="Times New Roman" w:cs="Times New Roman"/>
                <w:sz w:val="24"/>
                <w:szCs w:val="24"/>
              </w:rPr>
              <w:t xml:space="preserve">been </w:t>
            </w:r>
            <w:r>
              <w:rPr>
                <w:rFonts w:ascii="Times New Roman" w:hAnsi="Times New Roman" w:cs="Times New Roman"/>
                <w:sz w:val="24"/>
                <w:szCs w:val="24"/>
              </w:rPr>
              <w:t>incorporated or otherwise established, evidence of this should be provided.</w:t>
            </w:r>
          </w:p>
          <w:p w14:paraId="7825C745" w14:textId="77777777" w:rsidR="00EB3E77" w:rsidRPr="00B003F4" w:rsidRDefault="00EB3E77" w:rsidP="00EB3E77">
            <w:pPr>
              <w:pStyle w:val="ListParagraph"/>
              <w:jc w:val="both"/>
              <w:rPr>
                <w:rFonts w:ascii="Times New Roman" w:hAnsi="Times New Roman" w:cs="Times New Roman"/>
                <w:sz w:val="24"/>
                <w:szCs w:val="24"/>
              </w:rPr>
            </w:pPr>
            <w:r w:rsidRPr="00B003F4">
              <w:rPr>
                <w:rFonts w:ascii="Times New Roman" w:hAnsi="Times New Roman" w:cs="Times New Roman"/>
                <w:i/>
                <w:sz w:val="20"/>
                <w:szCs w:val="20"/>
              </w:rPr>
              <w:t>(If the Applicant has not been incorporated or otherwise established the Commission will only issue consent in principle)</w:t>
            </w:r>
          </w:p>
        </w:tc>
        <w:tc>
          <w:tcPr>
            <w:tcW w:w="236" w:type="dxa"/>
            <w:tcBorders>
              <w:top w:val="single" w:sz="4" w:space="0" w:color="auto"/>
              <w:left w:val="single" w:sz="4" w:space="0" w:color="auto"/>
              <w:bottom w:val="single" w:sz="4" w:space="0" w:color="auto"/>
            </w:tcBorders>
          </w:tcPr>
          <w:p w14:paraId="7825C746" w14:textId="77777777" w:rsidR="00EB3E77" w:rsidRPr="00EB3E77" w:rsidRDefault="00EB3E77" w:rsidP="00202BBA">
            <w:pPr>
              <w:jc w:val="both"/>
              <w:rPr>
                <w:rFonts w:ascii="Times New Roman" w:hAnsi="Times New Roman" w:cs="Times New Roman"/>
                <w:sz w:val="24"/>
                <w:szCs w:val="24"/>
              </w:rPr>
            </w:pPr>
          </w:p>
        </w:tc>
      </w:tr>
      <w:tr w:rsidR="00EB3E77" w:rsidRPr="005C0E4C" w14:paraId="7825C74A" w14:textId="77777777" w:rsidTr="009932C7">
        <w:trPr>
          <w:trHeight w:val="235"/>
        </w:trPr>
        <w:tc>
          <w:tcPr>
            <w:tcW w:w="9006" w:type="dxa"/>
            <w:vMerge/>
            <w:tcBorders>
              <w:top w:val="nil"/>
              <w:left w:val="nil"/>
              <w:bottom w:val="nil"/>
              <w:right w:val="nil"/>
            </w:tcBorders>
          </w:tcPr>
          <w:p w14:paraId="7825C748" w14:textId="77777777"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7825C749" w14:textId="77777777" w:rsidR="00EB3E77" w:rsidRPr="00EB3E77" w:rsidRDefault="00EB3E77" w:rsidP="00202BBA">
            <w:pPr>
              <w:jc w:val="both"/>
              <w:rPr>
                <w:rFonts w:ascii="Times New Roman" w:hAnsi="Times New Roman" w:cs="Times New Roman"/>
                <w:sz w:val="16"/>
                <w:szCs w:val="16"/>
              </w:rPr>
            </w:pPr>
          </w:p>
        </w:tc>
      </w:tr>
      <w:tr w:rsidR="00695F77" w14:paraId="7825C789" w14:textId="77777777" w:rsidTr="009932C7">
        <w:tc>
          <w:tcPr>
            <w:tcW w:w="9006" w:type="dxa"/>
            <w:tcBorders>
              <w:top w:val="nil"/>
              <w:left w:val="nil"/>
              <w:bottom w:val="nil"/>
              <w:right w:val="nil"/>
            </w:tcBorders>
          </w:tcPr>
          <w:p w14:paraId="7825C74B" w14:textId="77777777" w:rsidR="002C20F1" w:rsidRDefault="00B003F4" w:rsidP="002B50CD">
            <w:pPr>
              <w:ind w:left="720" w:hanging="720"/>
              <w:jc w:val="both"/>
              <w:rPr>
                <w:rFonts w:ascii="Times New Roman" w:hAnsi="Times New Roman" w:cs="Times New Roman"/>
                <w:sz w:val="24"/>
                <w:szCs w:val="24"/>
              </w:rPr>
            </w:pPr>
            <w:r>
              <w:rPr>
                <w:rFonts w:ascii="Times New Roman" w:hAnsi="Times New Roman" w:cs="Times New Roman"/>
                <w:i/>
                <w:sz w:val="20"/>
                <w:szCs w:val="20"/>
              </w:rPr>
              <w:tab/>
            </w:r>
          </w:p>
          <w:p w14:paraId="7825C74C" w14:textId="77777777" w:rsidR="002B50CD" w:rsidRPr="002C20F1" w:rsidRDefault="002B50CD" w:rsidP="002B50CD">
            <w:pPr>
              <w:pStyle w:val="NoSpacing"/>
            </w:pPr>
          </w:p>
          <w:p w14:paraId="7825C74D" w14:textId="77777777" w:rsidR="0086172E" w:rsidRDefault="0086172E" w:rsidP="008151EE">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96"/>
              <w:gridCol w:w="4678"/>
              <w:gridCol w:w="709"/>
              <w:gridCol w:w="1692"/>
            </w:tblGrid>
            <w:tr w:rsidR="0086172E" w14:paraId="7825C753" w14:textId="77777777" w:rsidTr="00A5234B">
              <w:tc>
                <w:tcPr>
                  <w:tcW w:w="1696" w:type="dxa"/>
                  <w:tcBorders>
                    <w:top w:val="nil"/>
                    <w:left w:val="nil"/>
                    <w:bottom w:val="nil"/>
                    <w:right w:val="single" w:sz="4" w:space="0" w:color="auto"/>
                  </w:tcBorders>
                </w:tcPr>
                <w:p w14:paraId="7825C74E"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825C74F" w14:textId="77777777" w:rsidR="003626AB" w:rsidRPr="00DA6AB9" w:rsidRDefault="003626AB" w:rsidP="008151E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825C750" w14:textId="77777777" w:rsidR="00A5234B" w:rsidRPr="00DA6AB9" w:rsidRDefault="00A5234B" w:rsidP="008151EE">
                  <w:pPr>
                    <w:jc w:val="both"/>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7825C751" w14:textId="77777777"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92" w:type="dxa"/>
                  <w:tcBorders>
                    <w:top w:val="single" w:sz="4" w:space="0" w:color="auto"/>
                    <w:left w:val="single" w:sz="4" w:space="0" w:color="auto"/>
                    <w:bottom w:val="single" w:sz="4" w:space="0" w:color="auto"/>
                    <w:right w:val="single" w:sz="4" w:space="0" w:color="auto"/>
                  </w:tcBorders>
                </w:tcPr>
                <w:p w14:paraId="7825C752" w14:textId="77777777" w:rsidR="0086172E" w:rsidRPr="00DA6AB9" w:rsidRDefault="0086172E" w:rsidP="008151EE">
                  <w:pPr>
                    <w:jc w:val="both"/>
                    <w:rPr>
                      <w:rFonts w:ascii="Times New Roman" w:hAnsi="Times New Roman" w:cs="Times New Roman"/>
                      <w:sz w:val="24"/>
                      <w:szCs w:val="24"/>
                    </w:rPr>
                  </w:pPr>
                </w:p>
              </w:tc>
            </w:tr>
            <w:tr w:rsidR="0086172E" w14:paraId="7825C758" w14:textId="77777777" w:rsidTr="00037F9B">
              <w:tc>
                <w:tcPr>
                  <w:tcW w:w="1696" w:type="dxa"/>
                  <w:tcBorders>
                    <w:top w:val="nil"/>
                    <w:left w:val="nil"/>
                    <w:bottom w:val="nil"/>
                    <w:right w:val="nil"/>
                  </w:tcBorders>
                </w:tcPr>
                <w:p w14:paraId="7825C754" w14:textId="77777777" w:rsidR="0086172E" w:rsidRPr="00DA6AB9" w:rsidRDefault="0086172E"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55"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56" w14:textId="77777777" w:rsidR="0086172E" w:rsidRPr="00DA6AB9" w:rsidRDefault="0086172E"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57" w14:textId="77777777" w:rsidR="0086172E" w:rsidRPr="00DA6AB9" w:rsidRDefault="0086172E" w:rsidP="008151EE">
                  <w:pPr>
                    <w:jc w:val="both"/>
                    <w:rPr>
                      <w:rFonts w:ascii="Times New Roman" w:hAnsi="Times New Roman" w:cs="Times New Roman"/>
                      <w:sz w:val="24"/>
                      <w:szCs w:val="24"/>
                    </w:rPr>
                  </w:pPr>
                </w:p>
              </w:tc>
            </w:tr>
            <w:tr w:rsidR="00A5234B" w14:paraId="7825C75C" w14:textId="77777777" w:rsidTr="00DA6AB9">
              <w:trPr>
                <w:trHeight w:val="454"/>
              </w:trPr>
              <w:tc>
                <w:tcPr>
                  <w:tcW w:w="1696" w:type="dxa"/>
                  <w:tcBorders>
                    <w:top w:val="nil"/>
                    <w:left w:val="nil"/>
                    <w:bottom w:val="nil"/>
                    <w:right w:val="single" w:sz="4" w:space="0" w:color="auto"/>
                  </w:tcBorders>
                </w:tcPr>
                <w:p w14:paraId="7825C759"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7825C75A" w14:textId="77777777" w:rsidR="00A5234B" w:rsidRPr="00DA6AB9" w:rsidRDefault="00A5234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5B" w14:textId="77777777" w:rsidR="00A5234B" w:rsidRPr="00DA6AB9" w:rsidRDefault="00A5234B" w:rsidP="003626AB">
                  <w:pPr>
                    <w:jc w:val="both"/>
                    <w:rPr>
                      <w:rFonts w:ascii="Times New Roman" w:hAnsi="Times New Roman" w:cs="Times New Roman"/>
                      <w:sz w:val="24"/>
                      <w:szCs w:val="24"/>
                    </w:rPr>
                  </w:pPr>
                </w:p>
              </w:tc>
            </w:tr>
            <w:tr w:rsidR="00DA6AB9" w:rsidRPr="00DA6AB9" w14:paraId="7825C75F" w14:textId="77777777" w:rsidTr="00DA6AB9">
              <w:trPr>
                <w:trHeight w:val="207"/>
              </w:trPr>
              <w:tc>
                <w:tcPr>
                  <w:tcW w:w="1696" w:type="dxa"/>
                  <w:tcBorders>
                    <w:top w:val="nil"/>
                    <w:left w:val="nil"/>
                    <w:bottom w:val="nil"/>
                    <w:right w:val="nil"/>
                  </w:tcBorders>
                </w:tcPr>
                <w:p w14:paraId="7825C75D" w14:textId="77777777" w:rsidR="00DA6AB9" w:rsidRPr="00DA6AB9" w:rsidRDefault="00DA6AB9" w:rsidP="00DA6AB9">
                  <w:pPr>
                    <w:jc w:val="both"/>
                    <w:rPr>
                      <w:rFonts w:ascii="Times New Roman" w:hAnsi="Times New Roman" w:cs="Times New Roman"/>
                      <w:sz w:val="24"/>
                      <w:szCs w:val="24"/>
                    </w:rPr>
                  </w:pPr>
                </w:p>
              </w:tc>
              <w:tc>
                <w:tcPr>
                  <w:tcW w:w="7079" w:type="dxa"/>
                  <w:gridSpan w:val="3"/>
                  <w:tcBorders>
                    <w:top w:val="single" w:sz="4" w:space="0" w:color="auto"/>
                    <w:left w:val="nil"/>
                    <w:bottom w:val="single" w:sz="4" w:space="0" w:color="auto"/>
                    <w:right w:val="nil"/>
                  </w:tcBorders>
                </w:tcPr>
                <w:p w14:paraId="7825C75E" w14:textId="77777777" w:rsidR="00DA6AB9" w:rsidRPr="00DA6AB9" w:rsidRDefault="00DA6AB9" w:rsidP="00DA6AB9">
                  <w:pPr>
                    <w:jc w:val="both"/>
                    <w:rPr>
                      <w:rFonts w:ascii="Times New Roman" w:hAnsi="Times New Roman" w:cs="Times New Roman"/>
                      <w:sz w:val="24"/>
                      <w:szCs w:val="24"/>
                    </w:rPr>
                  </w:pPr>
                </w:p>
              </w:tc>
            </w:tr>
            <w:tr w:rsidR="00DA6AB9" w14:paraId="7825C763" w14:textId="77777777" w:rsidTr="00A22B65">
              <w:trPr>
                <w:trHeight w:val="454"/>
              </w:trPr>
              <w:tc>
                <w:tcPr>
                  <w:tcW w:w="1696" w:type="dxa"/>
                  <w:tcBorders>
                    <w:top w:val="nil"/>
                    <w:left w:val="nil"/>
                    <w:bottom w:val="nil"/>
                    <w:right w:val="single" w:sz="4" w:space="0" w:color="auto"/>
                  </w:tcBorders>
                </w:tcPr>
                <w:p w14:paraId="7825C760" w14:textId="77777777" w:rsidR="00DA6AB9" w:rsidRPr="00DA6AB9" w:rsidRDefault="00DA6AB9" w:rsidP="00A22B65">
                  <w:pPr>
                    <w:jc w:val="both"/>
                    <w:rPr>
                      <w:rFonts w:ascii="Times New Roman" w:hAnsi="Times New Roman" w:cs="Times New Roman"/>
                      <w:sz w:val="24"/>
                      <w:szCs w:val="24"/>
                    </w:rPr>
                  </w:pPr>
                  <w:r w:rsidRPr="00DA6AB9">
                    <w:rPr>
                      <w:rFonts w:ascii="Times New Roman" w:hAnsi="Times New Roman" w:cs="Times New Roman"/>
                      <w:sz w:val="24"/>
                      <w:szCs w:val="24"/>
                    </w:rPr>
                    <w:t xml:space="preserve">Position </w:t>
                  </w:r>
                </w:p>
                <w:p w14:paraId="7825C761" w14:textId="77777777" w:rsidR="00DA6AB9" w:rsidRPr="00DA6AB9" w:rsidRDefault="00DA6AB9" w:rsidP="00A22B65">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2" w14:textId="77777777" w:rsidR="00DA6AB9" w:rsidRPr="00DA6AB9" w:rsidRDefault="00DA6AB9" w:rsidP="00A22B65">
                  <w:pPr>
                    <w:jc w:val="both"/>
                    <w:rPr>
                      <w:rFonts w:ascii="Times New Roman" w:hAnsi="Times New Roman" w:cs="Times New Roman"/>
                      <w:sz w:val="24"/>
                      <w:szCs w:val="24"/>
                    </w:rPr>
                  </w:pPr>
                </w:p>
              </w:tc>
            </w:tr>
            <w:tr w:rsidR="0086172E" w:rsidRPr="00DA6AB9" w14:paraId="7825C768" w14:textId="77777777" w:rsidTr="00037F9B">
              <w:tc>
                <w:tcPr>
                  <w:tcW w:w="1696" w:type="dxa"/>
                  <w:tcBorders>
                    <w:top w:val="nil"/>
                    <w:left w:val="nil"/>
                    <w:bottom w:val="nil"/>
                    <w:right w:val="nil"/>
                  </w:tcBorders>
                </w:tcPr>
                <w:p w14:paraId="7825C764" w14:textId="77777777" w:rsidR="0086172E" w:rsidRPr="00DA6AB9" w:rsidRDefault="0086172E" w:rsidP="008151EE">
                  <w:pPr>
                    <w:jc w:val="both"/>
                    <w:rPr>
                      <w:rFonts w:ascii="Times New Roman" w:hAnsi="Times New Roman" w:cs="Times New Roman"/>
                      <w:sz w:val="24"/>
                      <w:szCs w:val="24"/>
                    </w:rPr>
                  </w:pPr>
                </w:p>
              </w:tc>
              <w:tc>
                <w:tcPr>
                  <w:tcW w:w="4678" w:type="dxa"/>
                  <w:tcBorders>
                    <w:top w:val="nil"/>
                    <w:left w:val="nil"/>
                    <w:bottom w:val="single" w:sz="4" w:space="0" w:color="auto"/>
                    <w:right w:val="nil"/>
                  </w:tcBorders>
                </w:tcPr>
                <w:p w14:paraId="7825C765"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66" w14:textId="77777777" w:rsidR="0086172E" w:rsidRPr="00DA6AB9" w:rsidRDefault="0086172E" w:rsidP="008151EE">
                  <w:pPr>
                    <w:jc w:val="both"/>
                    <w:rPr>
                      <w:rFonts w:ascii="Times New Roman" w:hAnsi="Times New Roman" w:cs="Times New Roman"/>
                      <w:sz w:val="24"/>
                      <w:szCs w:val="24"/>
                    </w:rPr>
                  </w:pPr>
                </w:p>
              </w:tc>
              <w:tc>
                <w:tcPr>
                  <w:tcW w:w="1692" w:type="dxa"/>
                  <w:tcBorders>
                    <w:top w:val="nil"/>
                    <w:left w:val="nil"/>
                    <w:bottom w:val="single" w:sz="4" w:space="0" w:color="auto"/>
                    <w:right w:val="nil"/>
                  </w:tcBorders>
                </w:tcPr>
                <w:p w14:paraId="7825C767" w14:textId="77777777" w:rsidR="0086172E" w:rsidRPr="00DA6AB9" w:rsidRDefault="0086172E" w:rsidP="008151EE">
                  <w:pPr>
                    <w:jc w:val="both"/>
                    <w:rPr>
                      <w:rFonts w:ascii="Times New Roman" w:hAnsi="Times New Roman" w:cs="Times New Roman"/>
                      <w:sz w:val="24"/>
                      <w:szCs w:val="24"/>
                    </w:rPr>
                  </w:pPr>
                </w:p>
              </w:tc>
            </w:tr>
            <w:tr w:rsidR="00A5234B" w14:paraId="7825C76C" w14:textId="77777777" w:rsidTr="00037F9B">
              <w:tc>
                <w:tcPr>
                  <w:tcW w:w="1696" w:type="dxa"/>
                  <w:tcBorders>
                    <w:top w:val="nil"/>
                    <w:left w:val="nil"/>
                    <w:bottom w:val="nil"/>
                    <w:right w:val="single" w:sz="4" w:space="0" w:color="auto"/>
                  </w:tcBorders>
                </w:tcPr>
                <w:p w14:paraId="7825C769"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Institution</w:t>
                  </w:r>
                </w:p>
                <w:p w14:paraId="7825C76A"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B" w14:textId="77777777" w:rsidR="00A5234B" w:rsidRPr="00DA6AB9" w:rsidRDefault="00A5234B" w:rsidP="003626AB">
                  <w:pPr>
                    <w:jc w:val="both"/>
                    <w:rPr>
                      <w:rFonts w:ascii="Times New Roman" w:hAnsi="Times New Roman" w:cs="Times New Roman"/>
                      <w:sz w:val="24"/>
                      <w:szCs w:val="24"/>
                    </w:rPr>
                  </w:pPr>
                </w:p>
              </w:tc>
            </w:tr>
            <w:tr w:rsidR="00A5234B" w14:paraId="7825C771" w14:textId="77777777" w:rsidTr="00037F9B">
              <w:tc>
                <w:tcPr>
                  <w:tcW w:w="1696" w:type="dxa"/>
                  <w:tcBorders>
                    <w:top w:val="nil"/>
                    <w:left w:val="nil"/>
                    <w:bottom w:val="nil"/>
                    <w:right w:val="nil"/>
                  </w:tcBorders>
                </w:tcPr>
                <w:p w14:paraId="7825C76D"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6E"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6F"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0" w14:textId="77777777" w:rsidR="00A5234B" w:rsidRPr="00DA6AB9" w:rsidRDefault="00A5234B" w:rsidP="008151EE">
                  <w:pPr>
                    <w:jc w:val="both"/>
                    <w:rPr>
                      <w:rFonts w:ascii="Times New Roman" w:hAnsi="Times New Roman" w:cs="Times New Roman"/>
                      <w:sz w:val="24"/>
                      <w:szCs w:val="24"/>
                    </w:rPr>
                  </w:pPr>
                </w:p>
              </w:tc>
            </w:tr>
            <w:tr w:rsidR="00037F9B" w14:paraId="7825C775" w14:textId="77777777" w:rsidTr="002B50CD">
              <w:trPr>
                <w:trHeight w:val="463"/>
              </w:trPr>
              <w:tc>
                <w:tcPr>
                  <w:tcW w:w="1696" w:type="dxa"/>
                  <w:tcBorders>
                    <w:top w:val="nil"/>
                    <w:left w:val="nil"/>
                    <w:bottom w:val="nil"/>
                    <w:right w:val="single" w:sz="4" w:space="0" w:color="auto"/>
                  </w:tcBorders>
                </w:tcPr>
                <w:p w14:paraId="7825C772"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Address</w:t>
                  </w:r>
                </w:p>
                <w:p w14:paraId="7825C773"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4" w14:textId="77777777" w:rsidR="00FC150B" w:rsidRPr="00DA6AB9" w:rsidRDefault="00FC150B" w:rsidP="003626AB">
                  <w:pPr>
                    <w:jc w:val="both"/>
                    <w:rPr>
                      <w:rFonts w:ascii="Times New Roman" w:hAnsi="Times New Roman" w:cs="Times New Roman"/>
                      <w:sz w:val="24"/>
                      <w:szCs w:val="24"/>
                    </w:rPr>
                  </w:pPr>
                </w:p>
              </w:tc>
            </w:tr>
            <w:tr w:rsidR="00A5234B" w14:paraId="7825C77A" w14:textId="77777777" w:rsidTr="009932C7">
              <w:tc>
                <w:tcPr>
                  <w:tcW w:w="1696" w:type="dxa"/>
                  <w:tcBorders>
                    <w:top w:val="nil"/>
                    <w:left w:val="nil"/>
                    <w:bottom w:val="nil"/>
                    <w:right w:val="nil"/>
                  </w:tcBorders>
                </w:tcPr>
                <w:p w14:paraId="7825C776"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77"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78"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9" w14:textId="77777777" w:rsidR="00A5234B" w:rsidRPr="00DA6AB9" w:rsidRDefault="00A5234B" w:rsidP="008151EE">
                  <w:pPr>
                    <w:jc w:val="both"/>
                    <w:rPr>
                      <w:rFonts w:ascii="Times New Roman" w:hAnsi="Times New Roman" w:cs="Times New Roman"/>
                      <w:sz w:val="24"/>
                      <w:szCs w:val="24"/>
                    </w:rPr>
                  </w:pPr>
                </w:p>
              </w:tc>
            </w:tr>
            <w:tr w:rsidR="00037F9B" w14:paraId="7825C77F" w14:textId="77777777" w:rsidTr="009932C7">
              <w:tc>
                <w:tcPr>
                  <w:tcW w:w="1696" w:type="dxa"/>
                  <w:tcBorders>
                    <w:top w:val="nil"/>
                    <w:left w:val="nil"/>
                    <w:bottom w:val="nil"/>
                    <w:right w:val="single" w:sz="4" w:space="0" w:color="auto"/>
                  </w:tcBorders>
                </w:tcPr>
                <w:p w14:paraId="7825C77B"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7825C77C"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D" w14:textId="77777777" w:rsidR="00037F9B" w:rsidRDefault="00037F9B" w:rsidP="008151EE">
                  <w:pPr>
                    <w:jc w:val="both"/>
                    <w:rPr>
                      <w:rFonts w:ascii="Times New Roman" w:hAnsi="Times New Roman" w:cs="Times New Roman"/>
                      <w:sz w:val="24"/>
                      <w:szCs w:val="24"/>
                    </w:rPr>
                  </w:pPr>
                </w:p>
                <w:p w14:paraId="7825C77E" w14:textId="77777777" w:rsidR="00A55BE4" w:rsidRPr="00DA6AB9" w:rsidRDefault="00A55BE4" w:rsidP="008151EE">
                  <w:pPr>
                    <w:jc w:val="both"/>
                    <w:rPr>
                      <w:rFonts w:ascii="Times New Roman" w:hAnsi="Times New Roman" w:cs="Times New Roman"/>
                      <w:sz w:val="24"/>
                      <w:szCs w:val="24"/>
                    </w:rPr>
                  </w:pPr>
                </w:p>
              </w:tc>
            </w:tr>
            <w:tr w:rsidR="002000F0" w:rsidRPr="00DA6AB9" w14:paraId="7825C782" w14:textId="77777777" w:rsidTr="00F50D07">
              <w:trPr>
                <w:gridAfter w:val="2"/>
                <w:wAfter w:w="2401" w:type="dxa"/>
              </w:trPr>
              <w:tc>
                <w:tcPr>
                  <w:tcW w:w="1696" w:type="dxa"/>
                  <w:tcBorders>
                    <w:top w:val="nil"/>
                    <w:left w:val="nil"/>
                    <w:bottom w:val="nil"/>
                    <w:right w:val="nil"/>
                  </w:tcBorders>
                </w:tcPr>
                <w:p w14:paraId="7825C780" w14:textId="77777777" w:rsidR="002000F0" w:rsidRPr="00DA6AB9" w:rsidRDefault="002000F0" w:rsidP="00F50D07">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81" w14:textId="77777777" w:rsidR="002000F0" w:rsidRPr="00DA6AB9" w:rsidRDefault="002000F0" w:rsidP="00F50D07">
                  <w:pPr>
                    <w:jc w:val="both"/>
                    <w:rPr>
                      <w:rFonts w:ascii="Times New Roman" w:hAnsi="Times New Roman" w:cs="Times New Roman"/>
                      <w:sz w:val="24"/>
                      <w:szCs w:val="24"/>
                    </w:rPr>
                  </w:pPr>
                </w:p>
              </w:tc>
            </w:tr>
            <w:tr w:rsidR="00A55BE4" w14:paraId="7825C786" w14:textId="77777777" w:rsidTr="009932C7">
              <w:tc>
                <w:tcPr>
                  <w:tcW w:w="1696" w:type="dxa"/>
                  <w:tcBorders>
                    <w:top w:val="nil"/>
                    <w:left w:val="nil"/>
                    <w:bottom w:val="nil"/>
                    <w:right w:val="single" w:sz="4" w:space="0" w:color="auto"/>
                  </w:tcBorders>
                </w:tcPr>
                <w:p w14:paraId="7825C783" w14:textId="77777777" w:rsidR="00A55BE4" w:rsidRPr="00DA6AB9" w:rsidRDefault="00A55BE4" w:rsidP="00F50D07">
                  <w:pPr>
                    <w:jc w:val="both"/>
                    <w:rPr>
                      <w:rFonts w:ascii="Times New Roman" w:hAnsi="Times New Roman" w:cs="Times New Roman"/>
                      <w:sz w:val="24"/>
                      <w:szCs w:val="24"/>
                    </w:rPr>
                  </w:pPr>
                  <w:r>
                    <w:rPr>
                      <w:rFonts w:ascii="Times New Roman" w:hAnsi="Times New Roman" w:cs="Times New Roman"/>
                      <w:sz w:val="24"/>
                      <w:szCs w:val="24"/>
                    </w:rPr>
                    <w:t>Email address</w:t>
                  </w:r>
                </w:p>
                <w:p w14:paraId="7825C784" w14:textId="77777777" w:rsidR="00A55BE4" w:rsidRPr="00DA6AB9" w:rsidRDefault="00A55BE4"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tcBorders>
                </w:tcPr>
                <w:p w14:paraId="7825C785" w14:textId="77777777" w:rsidR="00A55BE4" w:rsidRPr="00DA6AB9" w:rsidRDefault="00A55BE4" w:rsidP="008151EE">
                  <w:pPr>
                    <w:jc w:val="both"/>
                    <w:rPr>
                      <w:rFonts w:ascii="Times New Roman" w:hAnsi="Times New Roman" w:cs="Times New Roman"/>
                      <w:sz w:val="24"/>
                      <w:szCs w:val="24"/>
                    </w:rPr>
                  </w:pPr>
                </w:p>
              </w:tc>
            </w:tr>
          </w:tbl>
          <w:p w14:paraId="7825C787" w14:textId="77777777"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14:paraId="7825C788" w14:textId="77777777" w:rsidR="00695F77" w:rsidRDefault="00695F77" w:rsidP="00695F77">
            <w:pPr>
              <w:jc w:val="both"/>
              <w:rPr>
                <w:rFonts w:ascii="Times New Roman" w:hAnsi="Times New Roman" w:cs="Times New Roman"/>
                <w:sz w:val="24"/>
                <w:szCs w:val="24"/>
              </w:rPr>
            </w:pPr>
          </w:p>
        </w:tc>
      </w:tr>
    </w:tbl>
    <w:p w14:paraId="7825C78A"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7825C78B" w14:textId="77777777" w:rsidR="00706B3C" w:rsidRPr="00AB1FCB" w:rsidRDefault="00706B3C" w:rsidP="00AB1FCB">
      <w:pPr>
        <w:jc w:val="both"/>
        <w:rPr>
          <w:rFonts w:ascii="Times New Roman" w:hAnsi="Times New Roman" w:cs="Times New Roman"/>
          <w:sz w:val="24"/>
          <w:szCs w:val="24"/>
        </w:rPr>
      </w:pPr>
      <w:r>
        <w:rPr>
          <w:rFonts w:ascii="Times New Roman" w:hAnsi="Times New Roman" w:cs="Times New Roman"/>
          <w:b/>
          <w:sz w:val="20"/>
          <w:szCs w:val="20"/>
        </w:rPr>
        <w:lastRenderedPageBreak/>
        <w:t>THE DATA PROTECTION (BAILIWICK OF GUERNSEY) LAW, 2001</w:t>
      </w:r>
    </w:p>
    <w:p w14:paraId="7825C78C" w14:textId="77777777" w:rsidR="00706B3C" w:rsidRPr="00037F9B" w:rsidRDefault="00706B3C" w:rsidP="00706B3C">
      <w:pPr>
        <w:spacing w:after="0" w:line="240" w:lineRule="auto"/>
        <w:jc w:val="both"/>
        <w:rPr>
          <w:rFonts w:ascii="Times New Roman" w:hAnsi="Times New Roman" w:cs="Times New Roman"/>
          <w:sz w:val="20"/>
          <w:szCs w:val="20"/>
        </w:rPr>
      </w:pPr>
      <w:r w:rsidRPr="00D42634">
        <w:rPr>
          <w:rFonts w:ascii="Times New Roman" w:hAnsi="Times New Roman" w:cs="Times New Roman"/>
          <w:sz w:val="20"/>
          <w:szCs w:val="20"/>
        </w:rPr>
        <w:t>Personal information provided in a Form will be used by the Commission. For the purposes of The Data Protection (Bailiwick of Guernsey) Law, 2001, the Commission is considered to be a data controller. The Commission will use the Forms to satisfy its statutory duty under the regulatory Laws. Information disclosed in the Forms may be disclosed to third parties for those purposes. Further information may be found in the Commission’s Data Protection policy, which can be located on its website at www.gfsc.gg.</w:t>
      </w:r>
    </w:p>
    <w:p w14:paraId="7825C78D" w14:textId="77777777" w:rsidR="00706B3C" w:rsidRDefault="00706B3C" w:rsidP="002C20F1">
      <w:pPr>
        <w:jc w:val="both"/>
        <w:rPr>
          <w:rFonts w:ascii="Times New Roman" w:hAnsi="Times New Roman" w:cs="Times New Roman"/>
          <w:b/>
          <w:sz w:val="20"/>
          <w:szCs w:val="20"/>
        </w:rPr>
      </w:pPr>
    </w:p>
    <w:p w14:paraId="7825C78E"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7825C78F"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7825C790" w14:textId="77777777" w:rsidR="00AD26D5" w:rsidRPr="00AD26D5" w:rsidRDefault="00AD26D5" w:rsidP="00AD26D5">
      <w:pPr>
        <w:spacing w:after="0" w:line="240" w:lineRule="auto"/>
        <w:jc w:val="both"/>
        <w:rPr>
          <w:rFonts w:ascii="Times New Roman" w:hAnsi="Times New Roman" w:cs="Times New Roman"/>
          <w:sz w:val="20"/>
          <w:szCs w:val="20"/>
        </w:rPr>
      </w:pPr>
    </w:p>
    <w:p w14:paraId="7825C791" w14:textId="77777777"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7825C792" w14:textId="77777777" w:rsidR="005B186B" w:rsidRDefault="005B186B" w:rsidP="005B186B">
      <w:pPr>
        <w:spacing w:after="0" w:line="240" w:lineRule="auto"/>
        <w:jc w:val="both"/>
        <w:rPr>
          <w:rFonts w:ascii="Times New Roman" w:hAnsi="Times New Roman" w:cs="Times New Roman"/>
          <w:sz w:val="20"/>
          <w:szCs w:val="20"/>
        </w:rPr>
      </w:pPr>
    </w:p>
    <w:p w14:paraId="7825C793" w14:textId="77777777" w:rsidR="005B186B" w:rsidRPr="00910E34" w:rsidRDefault="004E0220" w:rsidP="00AA70BF">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the Commission may grant or refuse the application subject to such conditions as the Commission may consider necessary or expedient.  Where the Commission grants an application it will be subject to a </w:t>
      </w:r>
      <w:r w:rsidR="005B186B" w:rsidRPr="00910E34">
        <w:rPr>
          <w:rFonts w:ascii="Times New Roman" w:hAnsi="Times New Roman" w:cs="Times New Roman"/>
          <w:sz w:val="20"/>
          <w:szCs w:val="20"/>
        </w:rPr>
        <w:t xml:space="preserve">condition </w:t>
      </w:r>
      <w:r>
        <w:rPr>
          <w:rFonts w:ascii="Times New Roman" w:hAnsi="Times New Roman" w:cs="Times New Roman"/>
          <w:sz w:val="20"/>
          <w:szCs w:val="20"/>
        </w:rPr>
        <w:t xml:space="preserve">requiring that the </w:t>
      </w:r>
      <w:r w:rsidRPr="00910E34">
        <w:rPr>
          <w:rFonts w:ascii="Times New Roman" w:hAnsi="Times New Roman" w:cs="Times New Roman"/>
          <w:sz w:val="20"/>
          <w:szCs w:val="20"/>
        </w:rPr>
        <w:t>applicant’s business be undertaken in accordance with the AML/CFT framework of its licensed administrator</w:t>
      </w:r>
      <w:r>
        <w:rPr>
          <w:rFonts w:ascii="Times New Roman" w:hAnsi="Times New Roman" w:cs="Times New Roman"/>
          <w:sz w:val="20"/>
          <w:szCs w:val="20"/>
        </w:rPr>
        <w:t>.  This condition</w:t>
      </w:r>
      <w:r w:rsidRPr="00910E34">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is applied as a matter of policy on all exemptions granted under </w:t>
      </w:r>
      <w:r>
        <w:rPr>
          <w:rFonts w:ascii="Times New Roman" w:hAnsi="Times New Roman" w:cs="Times New Roman"/>
          <w:sz w:val="20"/>
          <w:szCs w:val="20"/>
        </w:rPr>
        <w:t xml:space="preserve">section 3(1)(y) of the </w:t>
      </w:r>
      <w:r w:rsidR="005B186B" w:rsidRPr="00910E34">
        <w:rPr>
          <w:rFonts w:ascii="Times New Roman" w:hAnsi="Times New Roman" w:cs="Times New Roman"/>
          <w:sz w:val="20"/>
          <w:szCs w:val="20"/>
        </w:rPr>
        <w:t>Law</w:t>
      </w:r>
      <w:r>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 A further condition</w:t>
      </w:r>
      <w:r w:rsidR="00D75A27">
        <w:rPr>
          <w:rFonts w:ascii="Times New Roman" w:hAnsi="Times New Roman" w:cs="Times New Roman"/>
          <w:sz w:val="20"/>
          <w:szCs w:val="20"/>
        </w:rPr>
        <w:t xml:space="preserve"> which the grant of the application is subject to</w:t>
      </w:r>
      <w:r w:rsidR="000E7E7D">
        <w:rPr>
          <w:rFonts w:ascii="Times New Roman" w:hAnsi="Times New Roman" w:cs="Times New Roman"/>
          <w:sz w:val="20"/>
          <w:szCs w:val="20"/>
        </w:rPr>
        <w:t xml:space="preserve"> requires </w:t>
      </w:r>
      <w:r w:rsidR="00FD527B">
        <w:rPr>
          <w:rFonts w:ascii="Times New Roman" w:hAnsi="Times New Roman" w:cs="Times New Roman"/>
          <w:sz w:val="20"/>
          <w:szCs w:val="20"/>
        </w:rPr>
        <w:t xml:space="preserve">that </w:t>
      </w:r>
      <w:r w:rsidR="005B186B" w:rsidRPr="00910E34">
        <w:rPr>
          <w:rFonts w:ascii="Times New Roman" w:hAnsi="Times New Roman" w:cs="Times New Roman"/>
          <w:sz w:val="20"/>
          <w:szCs w:val="20"/>
        </w:rPr>
        <w:t xml:space="preserve">the exempted entity apply for a variation to the exemption should it propose changing its administrator.  Should an applicant have no licensed administrator it must satisfy the Commission that there will be sufficient controls </w:t>
      </w:r>
      <w:r w:rsidR="00C8760B" w:rsidRPr="00910E34">
        <w:rPr>
          <w:rFonts w:ascii="Times New Roman" w:hAnsi="Times New Roman" w:cs="Times New Roman"/>
          <w:sz w:val="20"/>
          <w:szCs w:val="20"/>
        </w:rPr>
        <w:t xml:space="preserve">in place </w:t>
      </w:r>
      <w:r w:rsidR="005B186B" w:rsidRPr="00910E34">
        <w:rPr>
          <w:rFonts w:ascii="Times New Roman" w:hAnsi="Times New Roman" w:cs="Times New Roman"/>
          <w:sz w:val="20"/>
          <w:szCs w:val="20"/>
        </w:rPr>
        <w:t xml:space="preserve">to comply with the </w:t>
      </w:r>
      <w:r w:rsidR="00C8760B" w:rsidRPr="00910E34">
        <w:rPr>
          <w:rFonts w:ascii="Times New Roman" w:hAnsi="Times New Roman" w:cs="Times New Roman"/>
          <w:sz w:val="20"/>
          <w:szCs w:val="20"/>
        </w:rPr>
        <w:t>Proceeds of Crime Regulations and Rules in the Handbook for Financial Services Businesses</w:t>
      </w:r>
      <w:r w:rsidR="005B186B" w:rsidRPr="00910E34">
        <w:rPr>
          <w:rFonts w:ascii="Times New Roman" w:hAnsi="Times New Roman" w:cs="Times New Roman"/>
          <w:sz w:val="20"/>
          <w:szCs w:val="20"/>
        </w:rPr>
        <w:t>.</w:t>
      </w:r>
    </w:p>
    <w:p w14:paraId="7825C794" w14:textId="77777777" w:rsidR="00C8760B" w:rsidRDefault="00C8760B" w:rsidP="005B186B">
      <w:pPr>
        <w:spacing w:after="0" w:line="240" w:lineRule="auto"/>
        <w:jc w:val="both"/>
        <w:rPr>
          <w:rFonts w:ascii="Times New Roman" w:hAnsi="Times New Roman" w:cs="Times New Roman"/>
          <w:sz w:val="20"/>
          <w:szCs w:val="20"/>
        </w:rPr>
      </w:pPr>
    </w:p>
    <w:p w14:paraId="7825C795" w14:textId="77777777" w:rsidR="00C8760B" w:rsidRPr="00910E34" w:rsidRDefault="00C8760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 xml:space="preserve">An exemption </w:t>
      </w:r>
      <w:r w:rsidRPr="00046A33">
        <w:rPr>
          <w:rFonts w:ascii="Times New Roman" w:hAnsi="Times New Roman" w:cs="Times New Roman"/>
          <w:sz w:val="20"/>
          <w:szCs w:val="20"/>
        </w:rPr>
        <w:t>application</w:t>
      </w:r>
      <w:r w:rsidR="005F5F33" w:rsidRPr="00046A33">
        <w:rPr>
          <w:rFonts w:ascii="Times New Roman" w:hAnsi="Times New Roman" w:cs="Times New Roman"/>
          <w:sz w:val="20"/>
          <w:szCs w:val="20"/>
        </w:rPr>
        <w:t xml:space="preserve"> in respect of</w:t>
      </w:r>
      <w:r w:rsidR="00B95C80" w:rsidRPr="00046A33">
        <w:rPr>
          <w:rFonts w:ascii="Times New Roman" w:hAnsi="Times New Roman" w:cs="Times New Roman"/>
          <w:sz w:val="20"/>
          <w:szCs w:val="20"/>
        </w:rPr>
        <w:t xml:space="preserve"> </w:t>
      </w:r>
      <w:r w:rsidR="00B95C80">
        <w:rPr>
          <w:rFonts w:ascii="Times New Roman" w:hAnsi="Times New Roman" w:cs="Times New Roman"/>
          <w:sz w:val="20"/>
          <w:szCs w:val="20"/>
        </w:rPr>
        <w:t>carrying out the activities of</w:t>
      </w:r>
      <w:r w:rsidRPr="00910E34">
        <w:rPr>
          <w:rFonts w:ascii="Times New Roman" w:hAnsi="Times New Roman" w:cs="Times New Roman"/>
          <w:sz w:val="20"/>
          <w:szCs w:val="20"/>
        </w:rPr>
        <w:t xml:space="preserve"> a </w:t>
      </w:r>
      <w:r w:rsidR="00706B3C">
        <w:rPr>
          <w:rFonts w:ascii="Times New Roman" w:hAnsi="Times New Roman" w:cs="Times New Roman"/>
          <w:sz w:val="20"/>
          <w:szCs w:val="20"/>
        </w:rPr>
        <w:t>Private Trust Company (“</w:t>
      </w:r>
      <w:r w:rsidRPr="00910E34">
        <w:rPr>
          <w:rFonts w:ascii="Times New Roman" w:hAnsi="Times New Roman" w:cs="Times New Roman"/>
          <w:sz w:val="20"/>
          <w:szCs w:val="20"/>
        </w:rPr>
        <w:t>PTC</w:t>
      </w:r>
      <w:r w:rsidR="00706B3C">
        <w:rPr>
          <w:rFonts w:ascii="Times New Roman" w:hAnsi="Times New Roman" w:cs="Times New Roman"/>
          <w:sz w:val="20"/>
          <w:szCs w:val="20"/>
        </w:rPr>
        <w:t>”)</w:t>
      </w:r>
      <w:r w:rsidRPr="00910E34">
        <w:rPr>
          <w:rFonts w:ascii="Times New Roman" w:hAnsi="Times New Roman" w:cs="Times New Roman"/>
          <w:sz w:val="20"/>
          <w:szCs w:val="20"/>
        </w:rPr>
        <w:t xml:space="preserve"> must include the identity of its directors. </w:t>
      </w:r>
      <w:r w:rsidR="00BF1962">
        <w:rPr>
          <w:rFonts w:ascii="Times New Roman" w:hAnsi="Times New Roman" w:cs="Times New Roman"/>
          <w:sz w:val="20"/>
          <w:szCs w:val="20"/>
        </w:rPr>
        <w:t xml:space="preserve">As a matter of general policy, the Commission will apply a standard condition on the exempted party requiring it to appoint at least one representative from the licensed fiduciary to the board of the exempted party. This representative as a professional fiduciary practitioner can provide valuable experience and expertise on trust matters for the rest of the board as well as providing the administering licensed fiduciary with a degree of influence over the PTC’s activities. </w:t>
      </w:r>
    </w:p>
    <w:p w14:paraId="7825C796" w14:textId="77777777" w:rsidR="005B186B" w:rsidRDefault="005B186B" w:rsidP="005B186B">
      <w:pPr>
        <w:spacing w:after="0" w:line="240" w:lineRule="auto"/>
        <w:jc w:val="both"/>
        <w:rPr>
          <w:rFonts w:ascii="Times New Roman" w:hAnsi="Times New Roman" w:cs="Times New Roman"/>
          <w:sz w:val="20"/>
          <w:szCs w:val="20"/>
        </w:rPr>
      </w:pPr>
    </w:p>
    <w:p w14:paraId="7825C797" w14:textId="77777777" w:rsidR="004E6320" w:rsidRDefault="004E6320" w:rsidP="005B186B">
      <w:pPr>
        <w:spacing w:after="0" w:line="240" w:lineRule="auto"/>
        <w:jc w:val="both"/>
        <w:rPr>
          <w:rFonts w:ascii="Times New Roman" w:hAnsi="Times New Roman" w:cs="Times New Roman"/>
          <w:sz w:val="20"/>
          <w:szCs w:val="20"/>
        </w:rPr>
      </w:pPr>
    </w:p>
    <w:p w14:paraId="7825C798" w14:textId="77777777" w:rsidR="005B186B" w:rsidRDefault="005B186B" w:rsidP="005B186B">
      <w:pPr>
        <w:spacing w:after="0" w:line="240" w:lineRule="auto"/>
        <w:jc w:val="both"/>
        <w:rPr>
          <w:rFonts w:ascii="Times New Roman" w:hAnsi="Times New Roman" w:cs="Times New Roman"/>
          <w:sz w:val="24"/>
          <w:szCs w:val="24"/>
        </w:rPr>
      </w:pPr>
    </w:p>
    <w:p w14:paraId="7825C799" w14:textId="77777777" w:rsidR="000E7E7D" w:rsidRDefault="000E7E7D" w:rsidP="00071AED">
      <w:pPr>
        <w:rPr>
          <w:rFonts w:ascii="Times New Roman" w:hAnsi="Times New Roman" w:cs="Times New Roman"/>
          <w:sz w:val="24"/>
          <w:szCs w:val="24"/>
        </w:rPr>
      </w:pPr>
    </w:p>
    <w:sectPr w:rsidR="000E7E7D" w:rsidSect="00037F9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C7A0" w14:textId="77777777" w:rsidR="00FE0C32" w:rsidRDefault="00FE0C32" w:rsidP="00E90272">
      <w:pPr>
        <w:spacing w:after="0" w:line="240" w:lineRule="auto"/>
      </w:pPr>
      <w:r>
        <w:separator/>
      </w:r>
    </w:p>
  </w:endnote>
  <w:endnote w:type="continuationSeparator" w:id="0">
    <w:p w14:paraId="7825C7A1" w14:textId="77777777" w:rsidR="00FE0C32" w:rsidRDefault="00FE0C32"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4" w14:textId="77777777" w:rsidR="00F71717" w:rsidRDefault="00F71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7216"/>
      <w:docPartObj>
        <w:docPartGallery w:val="Page Numbers (Bottom of Page)"/>
        <w:docPartUnique/>
      </w:docPartObj>
    </w:sdtPr>
    <w:sdtEndPr>
      <w:rPr>
        <w:rFonts w:ascii="Times New Roman" w:hAnsi="Times New Roman" w:cs="Times New Roman"/>
        <w:noProof/>
      </w:rPr>
    </w:sdtEndPr>
    <w:sdtContent>
      <w:p w14:paraId="7825C7A5" w14:textId="77777777" w:rsidR="0053330D" w:rsidRPr="00E90272" w:rsidRDefault="0053330D">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742D56">
          <w:rPr>
            <w:rFonts w:ascii="Times New Roman" w:hAnsi="Times New Roman" w:cs="Times New Roman"/>
            <w:noProof/>
          </w:rPr>
          <w:t>1</w:t>
        </w:r>
        <w:r w:rsidRPr="00E90272">
          <w:rPr>
            <w:rFonts w:ascii="Times New Roman" w:hAnsi="Times New Roman" w:cs="Times New Roman"/>
            <w:noProof/>
          </w:rPr>
          <w:fldChar w:fldCharType="end"/>
        </w:r>
      </w:p>
    </w:sdtContent>
  </w:sdt>
  <w:p w14:paraId="7825C7A6" w14:textId="77777777" w:rsidR="0053330D" w:rsidRDefault="00533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8" w14:textId="77777777" w:rsidR="00F71717" w:rsidRDefault="00F71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C79E" w14:textId="77777777" w:rsidR="00FE0C32" w:rsidRDefault="00FE0C32" w:rsidP="00E90272">
      <w:pPr>
        <w:spacing w:after="0" w:line="240" w:lineRule="auto"/>
      </w:pPr>
      <w:r>
        <w:separator/>
      </w:r>
    </w:p>
  </w:footnote>
  <w:footnote w:type="continuationSeparator" w:id="0">
    <w:p w14:paraId="7825C79F" w14:textId="77777777" w:rsidR="00FE0C32" w:rsidRDefault="00FE0C32" w:rsidP="00E9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2" w14:textId="77777777" w:rsidR="00F71717" w:rsidRDefault="00F71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3" w14:textId="77777777" w:rsidR="00F71717" w:rsidRDefault="00F71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7" w14:textId="77777777" w:rsidR="00F71717" w:rsidRDefault="00F71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60A65"/>
    <w:rsid w:val="00064B43"/>
    <w:rsid w:val="00067C30"/>
    <w:rsid w:val="00071AED"/>
    <w:rsid w:val="00072979"/>
    <w:rsid w:val="00080E86"/>
    <w:rsid w:val="00094639"/>
    <w:rsid w:val="000A06EF"/>
    <w:rsid w:val="000A0BE4"/>
    <w:rsid w:val="000A3B63"/>
    <w:rsid w:val="000A648D"/>
    <w:rsid w:val="000A7D7E"/>
    <w:rsid w:val="000B7E17"/>
    <w:rsid w:val="000C6A7F"/>
    <w:rsid w:val="000C782D"/>
    <w:rsid w:val="000D6524"/>
    <w:rsid w:val="000D77CC"/>
    <w:rsid w:val="000E22B1"/>
    <w:rsid w:val="000E61EF"/>
    <w:rsid w:val="000E7E7D"/>
    <w:rsid w:val="000E7F74"/>
    <w:rsid w:val="00101EB2"/>
    <w:rsid w:val="00105244"/>
    <w:rsid w:val="00107B68"/>
    <w:rsid w:val="001162E7"/>
    <w:rsid w:val="00126D63"/>
    <w:rsid w:val="00137AD2"/>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F42B7"/>
    <w:rsid w:val="002000F0"/>
    <w:rsid w:val="002026A6"/>
    <w:rsid w:val="00202BBA"/>
    <w:rsid w:val="0020421F"/>
    <w:rsid w:val="002128B1"/>
    <w:rsid w:val="00215077"/>
    <w:rsid w:val="0023032C"/>
    <w:rsid w:val="00231136"/>
    <w:rsid w:val="0024381A"/>
    <w:rsid w:val="00251BD8"/>
    <w:rsid w:val="002552AE"/>
    <w:rsid w:val="00260723"/>
    <w:rsid w:val="00263A9B"/>
    <w:rsid w:val="0027771B"/>
    <w:rsid w:val="00286AD3"/>
    <w:rsid w:val="00294682"/>
    <w:rsid w:val="00296CD2"/>
    <w:rsid w:val="00297ED4"/>
    <w:rsid w:val="002A4177"/>
    <w:rsid w:val="002A727F"/>
    <w:rsid w:val="002B261A"/>
    <w:rsid w:val="002B50CD"/>
    <w:rsid w:val="002C0232"/>
    <w:rsid w:val="002C20F1"/>
    <w:rsid w:val="002D5808"/>
    <w:rsid w:val="002D592C"/>
    <w:rsid w:val="002E14FD"/>
    <w:rsid w:val="0031483F"/>
    <w:rsid w:val="00326120"/>
    <w:rsid w:val="00331114"/>
    <w:rsid w:val="0034151D"/>
    <w:rsid w:val="003532A4"/>
    <w:rsid w:val="003548E4"/>
    <w:rsid w:val="00357BFA"/>
    <w:rsid w:val="003626AB"/>
    <w:rsid w:val="00370ABD"/>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A100E"/>
    <w:rsid w:val="004A33CD"/>
    <w:rsid w:val="004B1E36"/>
    <w:rsid w:val="004B53F9"/>
    <w:rsid w:val="004B676F"/>
    <w:rsid w:val="004C00EC"/>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A51D8"/>
    <w:rsid w:val="005B186B"/>
    <w:rsid w:val="005B3310"/>
    <w:rsid w:val="005C0C08"/>
    <w:rsid w:val="005C0E4C"/>
    <w:rsid w:val="005D0A90"/>
    <w:rsid w:val="005E685D"/>
    <w:rsid w:val="005F5F33"/>
    <w:rsid w:val="005F752D"/>
    <w:rsid w:val="005F7843"/>
    <w:rsid w:val="00601522"/>
    <w:rsid w:val="00641B10"/>
    <w:rsid w:val="00645694"/>
    <w:rsid w:val="006514D5"/>
    <w:rsid w:val="0066282F"/>
    <w:rsid w:val="006677A0"/>
    <w:rsid w:val="00675D2A"/>
    <w:rsid w:val="00695F77"/>
    <w:rsid w:val="006B0792"/>
    <w:rsid w:val="006B3315"/>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3FE7"/>
    <w:rsid w:val="00795E62"/>
    <w:rsid w:val="007B0CAF"/>
    <w:rsid w:val="007B32F8"/>
    <w:rsid w:val="007B39B0"/>
    <w:rsid w:val="007B47DC"/>
    <w:rsid w:val="007B49AF"/>
    <w:rsid w:val="007B5782"/>
    <w:rsid w:val="007B7391"/>
    <w:rsid w:val="007C03D8"/>
    <w:rsid w:val="007C683A"/>
    <w:rsid w:val="007D1175"/>
    <w:rsid w:val="007E02BF"/>
    <w:rsid w:val="007E42C0"/>
    <w:rsid w:val="00803083"/>
    <w:rsid w:val="00814657"/>
    <w:rsid w:val="008151EE"/>
    <w:rsid w:val="008269D1"/>
    <w:rsid w:val="008305D7"/>
    <w:rsid w:val="008340A0"/>
    <w:rsid w:val="00843E71"/>
    <w:rsid w:val="00844B32"/>
    <w:rsid w:val="00844EE3"/>
    <w:rsid w:val="008565D1"/>
    <w:rsid w:val="0086172E"/>
    <w:rsid w:val="00867549"/>
    <w:rsid w:val="008706B0"/>
    <w:rsid w:val="008935C8"/>
    <w:rsid w:val="008A031B"/>
    <w:rsid w:val="008A14B5"/>
    <w:rsid w:val="008B274A"/>
    <w:rsid w:val="008B511E"/>
    <w:rsid w:val="008B56B8"/>
    <w:rsid w:val="008C726E"/>
    <w:rsid w:val="008D6175"/>
    <w:rsid w:val="008D69C1"/>
    <w:rsid w:val="008E2232"/>
    <w:rsid w:val="008E46AE"/>
    <w:rsid w:val="00910E34"/>
    <w:rsid w:val="00911CC7"/>
    <w:rsid w:val="00915DA0"/>
    <w:rsid w:val="00930057"/>
    <w:rsid w:val="009330F2"/>
    <w:rsid w:val="00933716"/>
    <w:rsid w:val="00937BB8"/>
    <w:rsid w:val="00943C91"/>
    <w:rsid w:val="00947B90"/>
    <w:rsid w:val="00991D97"/>
    <w:rsid w:val="009930E9"/>
    <w:rsid w:val="009932C7"/>
    <w:rsid w:val="00994355"/>
    <w:rsid w:val="009B054C"/>
    <w:rsid w:val="009C10E9"/>
    <w:rsid w:val="009D2C2F"/>
    <w:rsid w:val="009D3D9E"/>
    <w:rsid w:val="009D78C1"/>
    <w:rsid w:val="009E07AE"/>
    <w:rsid w:val="009E1B19"/>
    <w:rsid w:val="009E353C"/>
    <w:rsid w:val="009E5D1C"/>
    <w:rsid w:val="009F55E3"/>
    <w:rsid w:val="00A14F70"/>
    <w:rsid w:val="00A15F5E"/>
    <w:rsid w:val="00A16F92"/>
    <w:rsid w:val="00A40817"/>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C3626"/>
    <w:rsid w:val="00AC399E"/>
    <w:rsid w:val="00AC50E1"/>
    <w:rsid w:val="00AC5166"/>
    <w:rsid w:val="00AD26D5"/>
    <w:rsid w:val="00AD4695"/>
    <w:rsid w:val="00AD4B45"/>
    <w:rsid w:val="00AE18DF"/>
    <w:rsid w:val="00AF337C"/>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C1F49"/>
    <w:rsid w:val="00BC465A"/>
    <w:rsid w:val="00BC6B79"/>
    <w:rsid w:val="00BD781F"/>
    <w:rsid w:val="00BE1B91"/>
    <w:rsid w:val="00BE68CE"/>
    <w:rsid w:val="00BE7DBD"/>
    <w:rsid w:val="00BF1962"/>
    <w:rsid w:val="00BF1D30"/>
    <w:rsid w:val="00BF7260"/>
    <w:rsid w:val="00C13582"/>
    <w:rsid w:val="00C23B1C"/>
    <w:rsid w:val="00C35387"/>
    <w:rsid w:val="00C3614D"/>
    <w:rsid w:val="00C3695A"/>
    <w:rsid w:val="00C40819"/>
    <w:rsid w:val="00C454C7"/>
    <w:rsid w:val="00C55534"/>
    <w:rsid w:val="00C611F6"/>
    <w:rsid w:val="00C63B3C"/>
    <w:rsid w:val="00C7234E"/>
    <w:rsid w:val="00C748F4"/>
    <w:rsid w:val="00C86EEF"/>
    <w:rsid w:val="00C8760B"/>
    <w:rsid w:val="00CA2BB2"/>
    <w:rsid w:val="00CA5ABD"/>
    <w:rsid w:val="00CA6BDD"/>
    <w:rsid w:val="00CB1FC6"/>
    <w:rsid w:val="00CB5A84"/>
    <w:rsid w:val="00CC4E8B"/>
    <w:rsid w:val="00CD61A4"/>
    <w:rsid w:val="00CD6D0E"/>
    <w:rsid w:val="00CF1D6C"/>
    <w:rsid w:val="00CF241F"/>
    <w:rsid w:val="00CF5525"/>
    <w:rsid w:val="00D00E80"/>
    <w:rsid w:val="00D10DFC"/>
    <w:rsid w:val="00D12FE6"/>
    <w:rsid w:val="00D15215"/>
    <w:rsid w:val="00D15E41"/>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B0117"/>
    <w:rsid w:val="00DC1B09"/>
    <w:rsid w:val="00DC5D89"/>
    <w:rsid w:val="00DD59B2"/>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90272"/>
    <w:rsid w:val="00E919F5"/>
    <w:rsid w:val="00E96895"/>
    <w:rsid w:val="00EA6B8C"/>
    <w:rsid w:val="00EB1D26"/>
    <w:rsid w:val="00EB3E77"/>
    <w:rsid w:val="00EB5C13"/>
    <w:rsid w:val="00EB7CDA"/>
    <w:rsid w:val="00EC0E61"/>
    <w:rsid w:val="00EC2852"/>
    <w:rsid w:val="00EC3998"/>
    <w:rsid w:val="00EC7BEA"/>
    <w:rsid w:val="00ED31C9"/>
    <w:rsid w:val="00EF1B6B"/>
    <w:rsid w:val="00EF5328"/>
    <w:rsid w:val="00EF64E1"/>
    <w:rsid w:val="00F04E73"/>
    <w:rsid w:val="00F06269"/>
    <w:rsid w:val="00F07DFE"/>
    <w:rsid w:val="00F17419"/>
    <w:rsid w:val="00F37D0E"/>
    <w:rsid w:val="00F43D3F"/>
    <w:rsid w:val="00F51E39"/>
    <w:rsid w:val="00F51F99"/>
    <w:rsid w:val="00F56F9E"/>
    <w:rsid w:val="00F614B8"/>
    <w:rsid w:val="00F66427"/>
    <w:rsid w:val="00F71717"/>
    <w:rsid w:val="00F72D64"/>
    <w:rsid w:val="00F835D6"/>
    <w:rsid w:val="00F86B97"/>
    <w:rsid w:val="00F924BA"/>
    <w:rsid w:val="00FC150B"/>
    <w:rsid w:val="00FC3F34"/>
    <w:rsid w:val="00FC4F53"/>
    <w:rsid w:val="00FC593B"/>
    <w:rsid w:val="00FD1B66"/>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hyperlink" TargetMode="External" Target="mailto:authorisations@gfsc.g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IDOC-48-461</_dlc_DocId>
    <_dlc_DocIdUrl xmlns="c2414744-8861-431a-9863-eb4c0d5384c4">
      <Url>http://intranet/Authorisations/_layouts/DocIdRedir.aspx?ID=IDOC-48-461</Url>
      <Description>IDOC-48-461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A58A-A7E9-4523-AEC6-3B338475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84618-C5FA-474E-B4FD-3ADB46F9A0C8}">
  <ds:schemaRefs>
    <ds:schemaRef ds:uri="http://schemas.microsoft.com/sharepoint/events"/>
  </ds:schemaRefs>
</ds:datastoreItem>
</file>

<file path=customXml/itemProps3.xml><?xml version="1.0" encoding="utf-8"?>
<ds:datastoreItem xmlns:ds="http://schemas.openxmlformats.org/officeDocument/2006/customXml" ds:itemID="{7E96D628-0E7A-4BE7-B5BB-B322654982E8}">
  <ds:schemaRefs>
    <ds:schemaRef ds:uri="http://schemas.microsoft.com/sharepoint/v3/contenttype/forms"/>
  </ds:schemaRefs>
</ds:datastoreItem>
</file>

<file path=customXml/itemProps4.xml><?xml version="1.0" encoding="utf-8"?>
<ds:datastoreItem xmlns:ds="http://schemas.openxmlformats.org/officeDocument/2006/customXml" ds:itemID="{784F4580-366A-4ED9-921F-A2A64560BAE5}">
  <ds:schemaRefs>
    <ds:schemaRef ds:uri="http://schemas.microsoft.com/office/2006/metadata/properties"/>
    <ds:schemaRef ds:uri="c2414744-8861-431a-9863-eb4c0d5384c4"/>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62ED1831-FBAE-4937-9899-1AC0544F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1287</Words>
  <Characters>7337</Characters>
  <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8607</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